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978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28F760B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5468002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6CA9AEA8" w14:textId="77777777" w:rsidR="005E4762" w:rsidRPr="005E4762" w:rsidRDefault="005E4762" w:rsidP="00AA65B3">
      <w:pPr>
        <w:spacing w:line="360" w:lineRule="auto"/>
        <w:rPr>
          <w:rFonts w:eastAsia="Times New Roman" w:cs="Arial"/>
          <w:b/>
          <w:bCs/>
          <w:color w:val="auto"/>
          <w:sz w:val="22"/>
          <w:szCs w:val="22"/>
          <w:lang w:eastAsia="pl-PL"/>
        </w:rPr>
        <w:sectPr w:rsidR="005E4762" w:rsidRPr="005E4762" w:rsidSect="00D14B9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127" w:right="1134" w:bottom="1134" w:left="1701" w:header="568" w:footer="510" w:gutter="0"/>
          <w:cols w:num="2" w:space="565"/>
          <w:docGrid w:linePitch="360"/>
        </w:sectPr>
      </w:pPr>
    </w:p>
    <w:p w14:paraId="73E151B5" w14:textId="77777777" w:rsidR="005E4762" w:rsidRPr="005E4762" w:rsidRDefault="005E4762" w:rsidP="00AA65B3">
      <w:pPr>
        <w:spacing w:line="360" w:lineRule="auto"/>
        <w:jc w:val="center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5212035" w14:textId="77777777" w:rsidR="004514DA" w:rsidRP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4"/>
          <w:szCs w:val="22"/>
          <w:lang w:eastAsia="pl-PL"/>
        </w:rPr>
      </w:pPr>
      <w:r w:rsidRPr="004514DA">
        <w:rPr>
          <w:rFonts w:eastAsia="Calibri" w:cs="Arial"/>
          <w:b/>
          <w:bCs/>
          <w:color w:val="auto"/>
          <w:sz w:val="24"/>
          <w:szCs w:val="22"/>
          <w:lang w:eastAsia="pl-PL"/>
        </w:rPr>
        <w:t xml:space="preserve">Szczegółowy Opis Przedmiotu Zamówienia </w:t>
      </w:r>
    </w:p>
    <w:p w14:paraId="58EF1071" w14:textId="0203E321" w:rsidR="00F148DC" w:rsidRDefault="00F148DC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6A2D0D2D" w14:textId="77777777" w:rsid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0F0769E" w14:textId="1A4176EF" w:rsidR="004514DA" w:rsidRDefault="004514DA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Przedmiotem zamówienia jest:</w:t>
      </w:r>
    </w:p>
    <w:p w14:paraId="5C7C7388" w14:textId="77777777" w:rsidR="00EE36C2" w:rsidRDefault="00EE36C2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2D87A6A4" w14:textId="018B94E4" w:rsidR="004514DA" w:rsidRPr="004514DA" w:rsidRDefault="004514DA" w:rsidP="00DF78D1">
      <w:pPr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„</w:t>
      </w:r>
      <w:r w:rsidR="00DF78D1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Wymiana opraw oświetleniowych na LED </w:t>
      </w:r>
      <w:r w:rsidR="00780E56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miejscowości </w:t>
      </w:r>
      <w:r w:rsidR="00184CE7">
        <w:rPr>
          <w:rFonts w:eastAsia="Calibri" w:cs="Arial"/>
          <w:b/>
          <w:bCs/>
          <w:color w:val="auto"/>
          <w:sz w:val="22"/>
          <w:szCs w:val="22"/>
          <w:lang w:eastAsia="pl-PL"/>
        </w:rPr>
        <w:t>Nieledwia, Kamesznica, Szare, Milówka</w:t>
      </w:r>
      <w:r w:rsidR="00780E56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, </w:t>
      </w:r>
      <w:r w:rsidR="00DF78D1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gmin</w:t>
      </w:r>
      <w:r w:rsidR="00780E56">
        <w:rPr>
          <w:rFonts w:eastAsia="Calibri" w:cs="Arial"/>
          <w:b/>
          <w:bCs/>
          <w:color w:val="auto"/>
          <w:sz w:val="22"/>
          <w:szCs w:val="22"/>
          <w:lang w:eastAsia="pl-PL"/>
        </w:rPr>
        <w:t>a</w:t>
      </w:r>
      <w:r w:rsidR="00DF78D1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</w:t>
      </w:r>
      <w:r w:rsidR="00184CE7">
        <w:rPr>
          <w:rFonts w:eastAsia="Calibri" w:cs="Arial"/>
          <w:b/>
          <w:bCs/>
          <w:color w:val="auto"/>
          <w:sz w:val="22"/>
          <w:szCs w:val="22"/>
          <w:lang w:eastAsia="pl-PL"/>
        </w:rPr>
        <w:t>Milówka</w:t>
      </w: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”</w:t>
      </w:r>
    </w:p>
    <w:p w14:paraId="42A863ED" w14:textId="77777777" w:rsidR="004514DA" w:rsidRDefault="004514DA" w:rsidP="004514DA">
      <w:pPr>
        <w:pStyle w:val="Akapitzlist"/>
        <w:ind w:left="644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C6099CD" w14:textId="5F55540D" w:rsidR="00DF78D1" w:rsidRPr="00B046BE" w:rsidRDefault="001F4356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O</w:t>
      </w:r>
      <w:r w:rsidR="000D0E12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pis przedmiotu zamówienia:</w:t>
      </w:r>
    </w:p>
    <w:p w14:paraId="5DA5BAFA" w14:textId="000B01AC" w:rsidR="007A0AE5" w:rsidRPr="00DF78D1" w:rsidRDefault="007A0AE5" w:rsidP="006568FE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 xml:space="preserve">Wykonanie zadania polega na </w:t>
      </w:r>
      <w:r w:rsidR="00DF78D1">
        <w:rPr>
          <w:rFonts w:eastAsia="Times New Roman" w:cs="Arial"/>
          <w:color w:val="auto"/>
          <w:sz w:val="22"/>
          <w:szCs w:val="22"/>
          <w:lang w:eastAsia="pl-PL"/>
        </w:rPr>
        <w:t>w</w:t>
      </w:r>
      <w:r w:rsidR="00DF78D1" w:rsidRPr="00DF78D1">
        <w:rPr>
          <w:rFonts w:eastAsia="Times New Roman" w:cs="Arial"/>
          <w:color w:val="auto"/>
          <w:sz w:val="22"/>
          <w:szCs w:val="22"/>
          <w:lang w:eastAsia="pl-PL"/>
        </w:rPr>
        <w:t>ymian</w:t>
      </w:r>
      <w:r w:rsidR="00DF78D1">
        <w:rPr>
          <w:rFonts w:eastAsia="Times New Roman" w:cs="Arial"/>
          <w:color w:val="auto"/>
          <w:sz w:val="22"/>
          <w:szCs w:val="22"/>
          <w:lang w:eastAsia="pl-PL"/>
        </w:rPr>
        <w:t>ie</w:t>
      </w:r>
      <w:r w:rsidR="00DF78D1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2</w:t>
      </w:r>
      <w:r w:rsidR="00087391">
        <w:rPr>
          <w:rFonts w:eastAsia="Times New Roman" w:cs="Arial"/>
          <w:color w:val="auto"/>
          <w:sz w:val="22"/>
          <w:szCs w:val="22"/>
          <w:lang w:eastAsia="pl-PL"/>
        </w:rPr>
        <w:t>3</w:t>
      </w:r>
      <w:r w:rsidR="00DF78D1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istniejących opraw oświetleniowych na oprawy typu LED</w:t>
      </w:r>
      <w:r w:rsidR="006568FE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6568FE" w:rsidRPr="006568FE">
        <w:rPr>
          <w:rFonts w:eastAsia="Times New Roman" w:cs="Arial"/>
          <w:color w:val="auto"/>
          <w:sz w:val="22"/>
          <w:szCs w:val="22"/>
          <w:lang w:eastAsia="pl-PL"/>
        </w:rPr>
        <w:t>na sieci skojarzonej</w:t>
      </w:r>
      <w:r w:rsidR="00CA764D">
        <w:rPr>
          <w:rFonts w:eastAsia="Times New Roman" w:cs="Arial"/>
          <w:color w:val="auto"/>
          <w:sz w:val="22"/>
          <w:szCs w:val="22"/>
          <w:lang w:eastAsia="pl-PL"/>
        </w:rPr>
        <w:t xml:space="preserve"> oraz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12</w:t>
      </w:r>
      <w:r w:rsidR="00CA764D">
        <w:rPr>
          <w:rFonts w:eastAsia="Times New Roman" w:cs="Arial"/>
          <w:color w:val="auto"/>
          <w:sz w:val="22"/>
          <w:szCs w:val="22"/>
          <w:lang w:eastAsia="pl-PL"/>
        </w:rPr>
        <w:t xml:space="preserve"> szt. </w:t>
      </w:r>
      <w:r w:rsidR="00CA764D" w:rsidRPr="00DF78D1">
        <w:rPr>
          <w:rFonts w:eastAsia="Times New Roman" w:cs="Arial"/>
          <w:color w:val="auto"/>
          <w:sz w:val="22"/>
          <w:szCs w:val="22"/>
          <w:lang w:eastAsia="pl-PL"/>
        </w:rPr>
        <w:t>istniejąc</w:t>
      </w:r>
      <w:r w:rsidR="00CE4E03">
        <w:rPr>
          <w:rFonts w:eastAsia="Times New Roman" w:cs="Arial"/>
          <w:color w:val="auto"/>
          <w:sz w:val="22"/>
          <w:szCs w:val="22"/>
          <w:lang w:eastAsia="pl-PL"/>
        </w:rPr>
        <w:t>ych</w:t>
      </w:r>
      <w:r w:rsidR="00CA764D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opraw oświetleniow</w:t>
      </w:r>
      <w:r w:rsidR="00CE4E03">
        <w:rPr>
          <w:rFonts w:eastAsia="Times New Roman" w:cs="Arial"/>
          <w:color w:val="auto"/>
          <w:sz w:val="22"/>
          <w:szCs w:val="22"/>
          <w:lang w:eastAsia="pl-PL"/>
        </w:rPr>
        <w:t>ych</w:t>
      </w:r>
      <w:r w:rsidR="00CA764D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na oprawy typu</w:t>
      </w:r>
      <w:r w:rsidR="00CA764D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CA764D" w:rsidRPr="00DF78D1">
        <w:rPr>
          <w:rFonts w:eastAsia="Times New Roman" w:cs="Arial"/>
          <w:color w:val="auto"/>
          <w:sz w:val="22"/>
          <w:szCs w:val="22"/>
          <w:lang w:eastAsia="pl-PL"/>
        </w:rPr>
        <w:t>LED</w:t>
      </w:r>
      <w:r w:rsidR="00CA764D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CA764D" w:rsidRPr="006568FE">
        <w:rPr>
          <w:rFonts w:eastAsia="Times New Roman" w:cs="Arial"/>
          <w:color w:val="auto"/>
          <w:sz w:val="22"/>
          <w:szCs w:val="22"/>
          <w:lang w:eastAsia="pl-PL"/>
        </w:rPr>
        <w:t>na sieci</w:t>
      </w:r>
      <w:r w:rsidR="00CA764D">
        <w:rPr>
          <w:rFonts w:eastAsia="Times New Roman" w:cs="Arial"/>
          <w:color w:val="auto"/>
          <w:sz w:val="22"/>
          <w:szCs w:val="22"/>
          <w:lang w:eastAsia="pl-PL"/>
        </w:rPr>
        <w:t xml:space="preserve"> wydzielonej </w:t>
      </w:r>
      <w:r w:rsidR="004A4BE7">
        <w:rPr>
          <w:rFonts w:eastAsia="Times New Roman" w:cs="Arial"/>
          <w:color w:val="auto"/>
          <w:sz w:val="22"/>
          <w:szCs w:val="22"/>
          <w:lang w:eastAsia="pl-PL"/>
        </w:rPr>
        <w:t>w</w:t>
      </w:r>
      <w:r w:rsidR="007B4F21" w:rsidRPr="00DF78D1">
        <w:rPr>
          <w:rFonts w:eastAsia="Calibri" w:cs="Arial"/>
          <w:bCs/>
          <w:color w:val="auto"/>
          <w:sz w:val="22"/>
          <w:szCs w:val="22"/>
          <w:lang w:eastAsia="pl-PL"/>
        </w:rPr>
        <w:t> </w:t>
      </w: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>miejscowości</w:t>
      </w:r>
      <w:r w:rsidR="00087391">
        <w:rPr>
          <w:rFonts w:eastAsia="Calibri" w:cs="Arial"/>
          <w:bCs/>
          <w:color w:val="auto"/>
          <w:sz w:val="22"/>
          <w:szCs w:val="22"/>
          <w:lang w:eastAsia="pl-PL"/>
        </w:rPr>
        <w:t xml:space="preserve"> </w:t>
      </w:r>
      <w:r w:rsidR="00184CE7" w:rsidRPr="00184CE7">
        <w:rPr>
          <w:rFonts w:eastAsia="Calibri" w:cs="Arial"/>
          <w:bCs/>
          <w:color w:val="auto"/>
          <w:sz w:val="22"/>
          <w:szCs w:val="22"/>
          <w:lang w:eastAsia="pl-PL"/>
        </w:rPr>
        <w:t>Nieledwia, Kamesznica, Szare, Milówka, gmina Milówka</w:t>
      </w:r>
      <w:r w:rsidR="00DF78D1">
        <w:rPr>
          <w:rFonts w:eastAsia="Calibri" w:cs="Arial"/>
          <w:bCs/>
          <w:color w:val="auto"/>
          <w:sz w:val="22"/>
          <w:szCs w:val="22"/>
          <w:lang w:eastAsia="pl-PL"/>
        </w:rPr>
        <w:t>, zgodnie z załączonymi mapkami.</w:t>
      </w:r>
    </w:p>
    <w:p w14:paraId="6C451655" w14:textId="77777777" w:rsidR="007A0AE5" w:rsidRPr="00DF78D1" w:rsidRDefault="007A0AE5" w:rsidP="00DF78D1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</w:p>
    <w:p w14:paraId="4109B2E5" w14:textId="34C939B5" w:rsidR="004514DA" w:rsidRPr="00DF78D1" w:rsidRDefault="007A0AE5" w:rsidP="00DF78D1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>Usługa świadczona będzie z materiałów Wykonawcy. Wykonawca zobowiązany jest zapewnić wszystkie niezbędne do wykonania prac materiały, w tym oprawy, przewody, wysięgniki, bezpieczniki, których parametry techniczne są zgodne z niniejszym OPZ.</w:t>
      </w:r>
    </w:p>
    <w:p w14:paraId="0B68C552" w14:textId="4D66A2CC" w:rsidR="0059649D" w:rsidRPr="00DF78D1" w:rsidRDefault="0059649D" w:rsidP="000D0E12">
      <w:pPr>
        <w:pStyle w:val="Akapitzlist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</w:p>
    <w:p w14:paraId="7DD1B381" w14:textId="56EC842A" w:rsidR="00E871F0" w:rsidRPr="00DF78D1" w:rsidRDefault="004514DA" w:rsidP="00DF78D1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color w:val="auto"/>
          <w:sz w:val="22"/>
          <w:szCs w:val="22"/>
          <w:lang w:eastAsia="pl-PL"/>
        </w:rPr>
        <w:t>Zakres prac:</w:t>
      </w:r>
    </w:p>
    <w:p w14:paraId="6E2F33CB" w14:textId="15C08BDF" w:rsidR="007A0AE5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demontaż </w:t>
      </w:r>
      <w:r w:rsidR="00033025">
        <w:rPr>
          <w:rFonts w:eastAsia="Times New Roman" w:cs="Arial"/>
          <w:color w:val="auto"/>
          <w:sz w:val="22"/>
          <w:szCs w:val="22"/>
          <w:lang w:eastAsia="pl-PL"/>
        </w:rPr>
        <w:t>3</w:t>
      </w:r>
      <w:r w:rsidR="007A0732">
        <w:rPr>
          <w:rFonts w:eastAsia="Times New Roman" w:cs="Arial"/>
          <w:color w:val="auto"/>
          <w:sz w:val="22"/>
          <w:szCs w:val="22"/>
          <w:lang w:eastAsia="pl-PL"/>
        </w:rPr>
        <w:t>5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starych opraw sodowych </w:t>
      </w:r>
    </w:p>
    <w:p w14:paraId="452E9E6A" w14:textId="0EF565E2" w:rsidR="00103DB0" w:rsidRDefault="00103DB0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- demontaż 25 szt. starych wysięgników</w:t>
      </w:r>
    </w:p>
    <w:p w14:paraId="3BBAC278" w14:textId="4B9DB657" w:rsidR="007A0732" w:rsidRPr="00DF78D1" w:rsidRDefault="007A0732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- demontaż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10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kompletów złącz słupowych w słupach OŻ sieci wydzielonej kablowej,</w:t>
      </w:r>
    </w:p>
    <w:p w14:paraId="23E2EA55" w14:textId="4BCC2A4F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- montaż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2</w:t>
      </w:r>
      <w:r w:rsidR="00033025">
        <w:rPr>
          <w:rFonts w:eastAsia="Times New Roman" w:cs="Arial"/>
          <w:color w:val="auto"/>
          <w:sz w:val="22"/>
          <w:szCs w:val="22"/>
          <w:lang w:eastAsia="pl-PL"/>
        </w:rPr>
        <w:t>5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nowych wysięgników w miejsce zdemontowanych (należy zastosować dłuższe wysięgniki w miejscach</w:t>
      </w:r>
      <w:r w:rsidR="00DF78D1">
        <w:rPr>
          <w:rFonts w:eastAsia="Times New Roman" w:cs="Arial"/>
          <w:color w:val="auto"/>
          <w:sz w:val="22"/>
          <w:szCs w:val="22"/>
          <w:lang w:eastAsia="pl-PL"/>
        </w:rPr>
        <w:t>,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gdzie słup jest bardziej oddalony od ciągu pieszo-komunikacyjnego),</w:t>
      </w:r>
    </w:p>
    <w:p w14:paraId="534494D2" w14:textId="34570979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</w:t>
      </w:r>
      <w:r w:rsidR="007A0732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montaż </w:t>
      </w:r>
      <w:r w:rsidR="00033025">
        <w:rPr>
          <w:rFonts w:eastAsia="Times New Roman" w:cs="Arial"/>
          <w:color w:val="auto"/>
          <w:sz w:val="22"/>
          <w:szCs w:val="22"/>
          <w:lang w:eastAsia="pl-PL"/>
        </w:rPr>
        <w:t>3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5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nowych opraw LED na wysięgnikach (słupach) w miejsce zdemontowanych,</w:t>
      </w:r>
    </w:p>
    <w:p w14:paraId="090E233F" w14:textId="32A7BFBA" w:rsidR="007A0AE5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- wymiana przewodów zasilających oprawy na przewód YKY w podwójnej izolacji na napięcie 750V w rurze ochronnej karbowanej oraz opraw bezpiecznikowych z</w:t>
      </w:r>
      <w:r w:rsidR="0060751E">
        <w:rPr>
          <w:rFonts w:eastAsia="Times New Roman" w:cs="Arial"/>
          <w:color w:val="auto"/>
          <w:sz w:val="22"/>
          <w:szCs w:val="22"/>
          <w:lang w:eastAsia="pl-PL"/>
        </w:rPr>
        <w:t> 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bezpiecznikami,</w:t>
      </w:r>
    </w:p>
    <w:p w14:paraId="64581AAE" w14:textId="546D595C" w:rsidR="007A0732" w:rsidRDefault="007A0732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-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 xml:space="preserve">oczyszczenie i 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pomalowanie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10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szt. wysięgników na słupach OŻ sieci wydzielonej kablowej,</w:t>
      </w:r>
    </w:p>
    <w:p w14:paraId="06FE9FDB" w14:textId="0834CEC0" w:rsidR="007A0732" w:rsidRPr="00DF78D1" w:rsidRDefault="007A0732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- wymiana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10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kompletów złącz słupowych w słupach OŻ sieci wydzielonej kablowej,</w:t>
      </w:r>
    </w:p>
    <w:p w14:paraId="7E6ACB06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- wykonanie pomiarów elektrycznych instalacji oświetlenia,</w:t>
      </w:r>
    </w:p>
    <w:p w14:paraId="4B9C3667" w14:textId="097B1B50" w:rsidR="00184CE7" w:rsidRPr="00184CE7" w:rsidRDefault="007A0AE5" w:rsidP="00184CE7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 wpięcie w sieć zasilającą i uruchomienie oświetlenia</w:t>
      </w:r>
      <w:r w:rsidR="00DF78D1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61FBACA6" w14:textId="14143D6F" w:rsidR="007A0AE5" w:rsidRPr="00DF78D1" w:rsidRDefault="00DF78D1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- </w:t>
      </w:r>
      <w:r w:rsidR="007A0AE5" w:rsidRPr="00DF78D1">
        <w:rPr>
          <w:rFonts w:eastAsia="Times New Roman" w:cs="Arial"/>
          <w:color w:val="auto"/>
          <w:sz w:val="22"/>
          <w:szCs w:val="22"/>
          <w:lang w:eastAsia="pl-PL"/>
        </w:rPr>
        <w:t>uporządkowanie terenu.</w:t>
      </w:r>
    </w:p>
    <w:p w14:paraId="3186D6BA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F1B45BB" w14:textId="62DDA5FA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Zestawienie zasadniczych materiałów:</w:t>
      </w:r>
    </w:p>
    <w:p w14:paraId="244EE037" w14:textId="402C9B4E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oprawa oświetleniowa LED "oprawa drogowa” – </w:t>
      </w:r>
      <w:r w:rsidR="00033025">
        <w:rPr>
          <w:rFonts w:eastAsia="Times New Roman" w:cs="Arial"/>
          <w:color w:val="auto"/>
          <w:sz w:val="22"/>
          <w:szCs w:val="22"/>
          <w:lang w:eastAsia="pl-PL"/>
        </w:rPr>
        <w:t>3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5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(dobrana wg charakterystyki opraw),</w:t>
      </w:r>
    </w:p>
    <w:p w14:paraId="00FC6A30" w14:textId="0BAF7EE3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- wysięgnik (dobrany wg charakterystyki wysięgników)</w:t>
      </w:r>
      <w:r w:rsidR="007A0732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2</w:t>
      </w:r>
      <w:r w:rsidR="007A0732">
        <w:rPr>
          <w:rFonts w:eastAsia="Times New Roman" w:cs="Arial"/>
          <w:color w:val="auto"/>
          <w:sz w:val="22"/>
          <w:szCs w:val="22"/>
          <w:lang w:eastAsia="pl-PL"/>
        </w:rPr>
        <w:t>5 szt.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6E825C7F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 przewód zasilający YKY w podwójnej izolacji na napięcie min. 750V,</w:t>
      </w:r>
    </w:p>
    <w:p w14:paraId="1A2362A9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 rura giętka karbowana ochronna do zabezpieczenia przewodu w wysięgniku,</w:t>
      </w:r>
    </w:p>
    <w:p w14:paraId="5A8CA969" w14:textId="2BDAF8ED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oprawa bezpiecznikowa w II kl. </w:t>
      </w:r>
      <w:r w:rsidR="006417C2" w:rsidRPr="00DF78D1">
        <w:rPr>
          <w:rFonts w:eastAsia="Times New Roman" w:cs="Arial"/>
          <w:color w:val="auto"/>
          <w:sz w:val="22"/>
          <w:szCs w:val="22"/>
          <w:lang w:eastAsia="pl-PL"/>
        </w:rPr>
        <w:t>O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chronności</w:t>
      </w:r>
      <w:r w:rsidR="006417C2">
        <w:rPr>
          <w:rFonts w:eastAsia="Times New Roman" w:cs="Arial"/>
          <w:color w:val="auto"/>
          <w:sz w:val="22"/>
          <w:szCs w:val="22"/>
          <w:lang w:eastAsia="pl-PL"/>
        </w:rPr>
        <w:t xml:space="preserve"> wraz z wkładką bezpiecznikową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– </w:t>
      </w:r>
      <w:r w:rsidR="00033025">
        <w:rPr>
          <w:rFonts w:eastAsia="Times New Roman" w:cs="Arial"/>
          <w:color w:val="auto"/>
          <w:sz w:val="22"/>
          <w:szCs w:val="22"/>
          <w:lang w:eastAsia="pl-PL"/>
        </w:rPr>
        <w:t>3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5</w:t>
      </w:r>
      <w:r w:rsidR="00CA764D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szt.,</w:t>
      </w:r>
    </w:p>
    <w:p w14:paraId="176D6938" w14:textId="3FCCF8D8" w:rsidR="007A0732" w:rsidRPr="00DF78D1" w:rsidRDefault="007A0732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- zł</w:t>
      </w:r>
      <w:r w:rsidR="00CF01B2">
        <w:rPr>
          <w:rFonts w:eastAsia="Times New Roman" w:cs="Arial"/>
          <w:color w:val="auto"/>
          <w:sz w:val="22"/>
          <w:szCs w:val="22"/>
          <w:lang w:eastAsia="pl-PL"/>
        </w:rPr>
        <w:t>ą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cze słupowe – 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10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6417C2">
        <w:rPr>
          <w:rFonts w:eastAsia="Times New Roman" w:cs="Arial"/>
          <w:color w:val="auto"/>
          <w:sz w:val="22"/>
          <w:szCs w:val="22"/>
          <w:lang w:eastAsia="pl-PL"/>
        </w:rPr>
        <w:t>komplet</w:t>
      </w:r>
      <w:r w:rsidR="00184CE7">
        <w:rPr>
          <w:rFonts w:eastAsia="Times New Roman" w:cs="Arial"/>
          <w:color w:val="auto"/>
          <w:sz w:val="22"/>
          <w:szCs w:val="22"/>
          <w:lang w:eastAsia="pl-PL"/>
        </w:rPr>
        <w:t>ów</w:t>
      </w:r>
    </w:p>
    <w:p w14:paraId="61121023" w14:textId="77777777" w:rsidR="009A74E2" w:rsidRPr="00DF78D1" w:rsidRDefault="009A74E2" w:rsidP="00220836">
      <w:pPr>
        <w:pStyle w:val="Akapitzlist"/>
        <w:ind w:left="644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4D88C235" w14:textId="06CD8C0F" w:rsidR="00DF78D1" w:rsidRPr="00B046BE" w:rsidRDefault="00EE36C2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lastRenderedPageBreak/>
        <w:t>Wymagania</w:t>
      </w:r>
      <w:r w:rsidR="0059649D"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techniczne</w:t>
      </w: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:</w:t>
      </w:r>
    </w:p>
    <w:p w14:paraId="7F853AC8" w14:textId="77777777" w:rsidR="007A0AE5" w:rsidRDefault="007A0AE5" w:rsidP="00DF78D1">
      <w:pPr>
        <w:pStyle w:val="Akapitzlist"/>
        <w:spacing w:after="120"/>
        <w:ind w:left="567"/>
        <w:rPr>
          <w:rFonts w:cs="Arial"/>
          <w:b/>
          <w:sz w:val="22"/>
          <w:szCs w:val="22"/>
          <w:u w:val="single"/>
        </w:rPr>
      </w:pPr>
      <w:r w:rsidRPr="00DF78D1">
        <w:rPr>
          <w:rFonts w:cs="Arial"/>
          <w:b/>
          <w:sz w:val="22"/>
          <w:szCs w:val="22"/>
          <w:u w:val="single"/>
        </w:rPr>
        <w:t>Warunki brzegowe dla opraw z modułami LED</w:t>
      </w:r>
    </w:p>
    <w:p w14:paraId="6F0A8DFD" w14:textId="02F60BE4" w:rsidR="00DF78D1" w:rsidRPr="00DF78D1" w:rsidRDefault="00DF78D1" w:rsidP="00DF78D1">
      <w:pPr>
        <w:pStyle w:val="Akapitzlist"/>
        <w:spacing w:after="120"/>
        <w:ind w:left="567"/>
        <w:rPr>
          <w:rFonts w:cs="Arial"/>
          <w:b/>
          <w:sz w:val="22"/>
          <w:szCs w:val="22"/>
          <w:u w:val="single"/>
        </w:rPr>
      </w:pPr>
      <w:r w:rsidRPr="00DF78D1">
        <w:rPr>
          <w:rFonts w:cs="Arial"/>
          <w:sz w:val="22"/>
          <w:szCs w:val="22"/>
        </w:rPr>
        <w:t xml:space="preserve">Oprawę oświetleniową dobrać </w:t>
      </w:r>
      <w:r w:rsidRPr="00DF78D1">
        <w:rPr>
          <w:rFonts w:cs="Arial"/>
          <w:b/>
          <w:sz w:val="22"/>
          <w:szCs w:val="22"/>
        </w:rPr>
        <w:t xml:space="preserve">wg charakterystyki opraw </w:t>
      </w:r>
      <w:r w:rsidRPr="00DF78D1">
        <w:rPr>
          <w:rFonts w:cs="Arial"/>
          <w:sz w:val="22"/>
          <w:szCs w:val="22"/>
        </w:rPr>
        <w:t>podanej poniżej</w:t>
      </w:r>
      <w:r w:rsidRPr="00DF78D1">
        <w:rPr>
          <w:rFonts w:cs="Arial"/>
          <w:b/>
          <w:sz w:val="22"/>
          <w:szCs w:val="22"/>
        </w:rPr>
        <w:t>,</w:t>
      </w:r>
      <w:r w:rsidRPr="00DF78D1">
        <w:rPr>
          <w:rFonts w:cs="Arial"/>
          <w:sz w:val="22"/>
          <w:szCs w:val="22"/>
        </w:rPr>
        <w:t xml:space="preserve"> strumień świetlny oprawy w zakresie od 7000 - 9000 lm.</w:t>
      </w:r>
    </w:p>
    <w:p w14:paraId="352CFAC0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powinna zapewniać drogowy rozsył światła. </w:t>
      </w:r>
    </w:p>
    <w:p w14:paraId="199C6767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Należy podawać moce opraw wraz z mocą pobieraną przez układ zasilania. Dopuszczalny odchył mocy to +/-10% mocy znamionowej. </w:t>
      </w:r>
    </w:p>
    <w:p w14:paraId="2037911E" w14:textId="07A06D2C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Wydajność świetlna oprawy powinna być nie mniejsza niż 130 lm z 1W po uwzględnieniu strat w układzie optycznym oraz zasilaniu.</w:t>
      </w:r>
    </w:p>
    <w:p w14:paraId="0EC6F64E" w14:textId="77777777" w:rsidR="007A0AE5" w:rsidRPr="00DF78D1" w:rsidRDefault="007A0AE5" w:rsidP="00DF78D1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Temperatura barwowa światła oprawy powinna być neutralna, dobrana wg potrzeb zamawiającego w zakresie barwa ciepła, neutralna i zimna. Gdy nie ma konkretnych wskazań należy korzystać z barwy neutralnej.</w:t>
      </w:r>
    </w:p>
    <w:p w14:paraId="01E3CFFA" w14:textId="62372940" w:rsidR="007A0AE5" w:rsidRPr="00DF78D1" w:rsidRDefault="007A0AE5" w:rsidP="00DF78D1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cs="Arial"/>
          <w:noProof/>
          <w:sz w:val="22"/>
          <w:szCs w:val="22"/>
        </w:rPr>
        <w:drawing>
          <wp:inline distT="0" distB="0" distL="0" distR="0" wp14:anchorId="5642F474" wp14:editId="4F6148EA">
            <wp:extent cx="3486150" cy="1209675"/>
            <wp:effectExtent l="0" t="0" r="0" b="9525"/>
            <wp:docPr id="1585631370" name="Obraz 1" descr="Znalezione obrazy dla zapytania temperatura barwowa 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Znalezione obrazy dla zapytania temperatura barwowa l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E61CB" w14:textId="77777777" w:rsidR="007A0AE5" w:rsidRPr="00DF78D1" w:rsidRDefault="007A0AE5" w:rsidP="00DF78D1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0BEA7687" w14:textId="77777777" w:rsidR="007A0AE5" w:rsidRPr="00DF78D1" w:rsidRDefault="007A0AE5" w:rsidP="00DF78D1">
      <w:pPr>
        <w:numPr>
          <w:ilvl w:val="0"/>
          <w:numId w:val="26"/>
        </w:numPr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Współczynnik oddawania barw powinien być większy od Ra (CRI)&gt;70.</w:t>
      </w:r>
    </w:p>
    <w:p w14:paraId="3CD1D1FD" w14:textId="193D8AD0" w:rsidR="007A0AE5" w:rsidRPr="00DF78D1" w:rsidRDefault="007A0AE5" w:rsidP="00DF78D1">
      <w:pPr>
        <w:numPr>
          <w:ilvl w:val="0"/>
          <w:numId w:val="26"/>
        </w:numPr>
        <w:spacing w:after="200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przy ustawieniu 0</w:t>
      </w:r>
      <w:r w:rsidRPr="00DF78D1">
        <w:rPr>
          <w:rFonts w:eastAsia="Calibri" w:cs="Arial"/>
          <w:sz w:val="22"/>
          <w:szCs w:val="22"/>
          <w:vertAlign w:val="superscript"/>
        </w:rPr>
        <w:t>0</w:t>
      </w:r>
      <w:r w:rsidRPr="00DF78D1">
        <w:rPr>
          <w:rFonts w:eastAsia="Calibri" w:cs="Arial"/>
          <w:sz w:val="22"/>
          <w:szCs w:val="22"/>
        </w:rPr>
        <w:t xml:space="preserve"> (poziomym) nie może emitować światła w górną półprzestrzeń - zgodnie z Rozporządzeniem Komisji Europejskiej  (WE) nr 245/2009 z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18 marca 2009 r.</w:t>
      </w:r>
    </w:p>
    <w:p w14:paraId="5871B28C" w14:textId="48CB2B94" w:rsidR="007A0AE5" w:rsidRPr="00DF78D1" w:rsidRDefault="007A0AE5" w:rsidP="00DF78D1">
      <w:pPr>
        <w:numPr>
          <w:ilvl w:val="0"/>
          <w:numId w:val="26"/>
        </w:numPr>
        <w:spacing w:after="200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o stałym poborze mocy. Dla indywidualnego życzenia zamawiającego oprawa musi posiadać możliwość dopasowania poboru mocy oraz strumienia świetlnego do indywidualnych wymagań klienta poprzez fabryczne zaprogramowanie redukcji mocy i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strumienia świetlnego dopasowanej do indywidualnych potrzeb klienta (tj. oprawy ze 100% do wskazanej przez Klienta w godzinach późnonocnych zgodnie z normą PN–EN 13201) bez zastosowania dodatkowych sterowników zewnętrznych. W przypadku zastosowania dodatkowych systemów sterowania, oprawa musi mieć możliwość współpracy z zewnętrznym systemem sterowania. Powinno utrzymywać się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obszarach (gminach), gdzie stosuje się już zewnętrzne systemy sterowania, utrzymanie jednego, zunifikowanego systemu tak aby mieć jeden system zarządzania oświetleniem w danym rejonie.</w:t>
      </w:r>
    </w:p>
    <w:p w14:paraId="1CDB8452" w14:textId="3FE32AE2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Układ zasilający panel LED ma zabezpieczać źródło światła przed przepięciami o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 xml:space="preserve">napięciu co najmniej 10 </w:t>
      </w:r>
      <w:proofErr w:type="spellStart"/>
      <w:r w:rsidRPr="00DF78D1">
        <w:rPr>
          <w:rFonts w:eastAsia="Calibri" w:cs="Arial"/>
          <w:sz w:val="22"/>
          <w:szCs w:val="22"/>
        </w:rPr>
        <w:t>kV</w:t>
      </w:r>
      <w:proofErr w:type="spellEnd"/>
      <w:r w:rsidRPr="00DF78D1">
        <w:rPr>
          <w:rFonts w:eastAsia="Calibri" w:cs="Arial"/>
          <w:sz w:val="22"/>
          <w:szCs w:val="22"/>
        </w:rPr>
        <w:t>. Zasilacz mikroprocesorowy musi być wyposażony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zabezpieczenia: przeciążeniowe, przeciwzwarciowe, termiczne oraz nadnapięciowe.</w:t>
      </w:r>
    </w:p>
    <w:p w14:paraId="2C700100" w14:textId="65D69D3B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ma być wykonana z ciśnieniowego odlewu aluminium, malowana w dowolnym kolorze palety RAL, wg potrzeby </w:t>
      </w:r>
      <w:r w:rsidR="00B046BE" w:rsidRPr="00DF78D1">
        <w:rPr>
          <w:rFonts w:eastAsia="Calibri" w:cs="Arial"/>
          <w:sz w:val="22"/>
          <w:szCs w:val="22"/>
        </w:rPr>
        <w:t>Zamawiającego.</w:t>
      </w:r>
      <w:r w:rsidRPr="00DF78D1">
        <w:rPr>
          <w:rFonts w:eastAsia="Calibri" w:cs="Arial"/>
          <w:sz w:val="22"/>
          <w:szCs w:val="22"/>
        </w:rPr>
        <w:t xml:space="preserve"> Układ optyczny (soczewkowy, odbłyśnikowy) powinien chroniony być kloszem szklanym w celu ochrony przed kurzem oraz uszkodzeniami mechanicznymi – współczynnik nie mniejszy niż IK 08. W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 xml:space="preserve">przypadku opraw nietypowych (parkowe, ozdobne, specjalistyczne) dopuszczalne jest stosowanie zamiast kloszy szklanych innych materiałów chroniących układ optyczny. </w:t>
      </w:r>
    </w:p>
    <w:p w14:paraId="5FE33437" w14:textId="3ADC68DC" w:rsidR="007A0AE5" w:rsidRPr="00DF78D1" w:rsidRDefault="007A0AE5" w:rsidP="007A0AE5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Układ soczewkowy winien być wielosoczewkowy i powinien być wykonany z</w:t>
      </w:r>
      <w:r w:rsidR="0060751E">
        <w:rPr>
          <w:rFonts w:eastAsia="Calibri" w:cs="Arial"/>
          <w:sz w:val="22"/>
          <w:szCs w:val="22"/>
        </w:rPr>
        <w:t> </w:t>
      </w:r>
      <w:r w:rsidRPr="00DF78D1">
        <w:rPr>
          <w:rFonts w:eastAsia="Calibri" w:cs="Arial"/>
          <w:sz w:val="22"/>
          <w:szCs w:val="22"/>
        </w:rPr>
        <w:t>odpornego na warunki atmosferyczne materiału.</w:t>
      </w:r>
    </w:p>
    <w:p w14:paraId="2A570C4E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lastRenderedPageBreak/>
        <w:t xml:space="preserve">Obudowa oprawy ma być szczelnie zamknięta. Stopień szczelności oprawy nie może być mniejszy niż IP 65. </w:t>
      </w:r>
    </w:p>
    <w:p w14:paraId="687FDC8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powinna spełniać wymogi II klasy ochronności.</w:t>
      </w:r>
    </w:p>
    <w:p w14:paraId="0C3B4EB5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Oprawa musi posiadać system umożliwiający sprawne odprowadzenie ciepła.</w:t>
      </w:r>
    </w:p>
    <w:p w14:paraId="5A47234F" w14:textId="0BD4CA0C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Zastosowana oprawa musi posiadać certyfikat bezpieczeństwa - </w:t>
      </w:r>
      <w:r w:rsidRPr="00DF78D1">
        <w:rPr>
          <w:rFonts w:eastAsia="Calibri" w:cs="Arial"/>
          <w:b/>
          <w:sz w:val="22"/>
          <w:szCs w:val="22"/>
        </w:rPr>
        <w:t>Oznaczenie CE</w:t>
      </w:r>
      <w:r w:rsidRPr="00DF78D1">
        <w:rPr>
          <w:rFonts w:eastAsia="Calibri" w:cs="Arial"/>
          <w:sz w:val="22"/>
          <w:szCs w:val="22"/>
        </w:rPr>
        <w:t xml:space="preserve"> (</w:t>
      </w:r>
      <w:proofErr w:type="spellStart"/>
      <w:r w:rsidRPr="00DF78D1">
        <w:rPr>
          <w:rFonts w:eastAsia="Calibri" w:cs="Arial"/>
          <w:sz w:val="22"/>
          <w:szCs w:val="22"/>
        </w:rPr>
        <w:t>Conformité</w:t>
      </w:r>
      <w:proofErr w:type="spellEnd"/>
      <w:r w:rsidRPr="00DF78D1">
        <w:rPr>
          <w:rFonts w:eastAsia="Calibri" w:cs="Arial"/>
          <w:sz w:val="22"/>
          <w:szCs w:val="22"/>
        </w:rPr>
        <w:t xml:space="preserve"> </w:t>
      </w:r>
      <w:proofErr w:type="spellStart"/>
      <w:r w:rsidRPr="00DF78D1">
        <w:rPr>
          <w:rFonts w:eastAsia="Calibri" w:cs="Arial"/>
          <w:sz w:val="22"/>
          <w:szCs w:val="22"/>
        </w:rPr>
        <w:t>Européenne</w:t>
      </w:r>
      <w:proofErr w:type="spellEnd"/>
      <w:r w:rsidRPr="00DF78D1">
        <w:rPr>
          <w:rFonts w:eastAsia="Calibri" w:cs="Arial"/>
          <w:sz w:val="22"/>
          <w:szCs w:val="22"/>
        </w:rPr>
        <w:t>) potwierdzony deklaracją zgodności w języku polskim</w:t>
      </w:r>
      <w:r w:rsidR="00005386">
        <w:rPr>
          <w:rFonts w:eastAsia="Calibri" w:cs="Arial"/>
          <w:sz w:val="22"/>
          <w:szCs w:val="22"/>
        </w:rPr>
        <w:t>.</w:t>
      </w:r>
      <w:r w:rsidRPr="00DF78D1">
        <w:rPr>
          <w:rFonts w:eastAsia="Calibri" w:cs="Arial"/>
          <w:sz w:val="22"/>
          <w:szCs w:val="22"/>
        </w:rPr>
        <w:t xml:space="preserve"> </w:t>
      </w:r>
    </w:p>
    <w:p w14:paraId="7622785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Oprawa musi być wyposażona w uchwyt (wyposażenie oprawy lub dodatkowy element) umożliwiający jej płynną regulację w zakresie minimum 90 stopni, dostosowany zarówno do wysięgnika o średnicy max 60 mm jak i do bezpośredniego montażu na słupie. Dopuszcza się na życzenie zamawiającego końcówkę montażową o innej średnicy, np. Ø48, Ø76. Dla usługi „kup i zrób” uchwyt powinien umożliwiać poziome względem ziemi ustawienie oprawy bez względu na rodzaje i nachylenia wysięgników. </w:t>
      </w:r>
    </w:p>
    <w:p w14:paraId="236ECDD6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Trwałość diodowych źródeł światła powinna wynosić nie mniej niż 100.000 h </w:t>
      </w:r>
    </w:p>
    <w:p w14:paraId="6CDB61E2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Konstrukcja oprawy powinna zapewniać łatwą wymianę modułów LED, oraz układów zasilających. – opcjonalne (wymagane w przypadkach gdy chce tego zamawiający).</w:t>
      </w:r>
    </w:p>
    <w:p w14:paraId="3746FE75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Zakres temperatury pracy: - 30º C do + 35º</w:t>
      </w:r>
      <w:r w:rsidRPr="00DF78D1">
        <w:rPr>
          <w:rFonts w:eastAsia="Calibri" w:cs="Arial"/>
          <w:sz w:val="22"/>
          <w:szCs w:val="22"/>
          <w:vertAlign w:val="superscript"/>
        </w:rPr>
        <w:t xml:space="preserve"> </w:t>
      </w:r>
      <w:r w:rsidRPr="00DF78D1">
        <w:rPr>
          <w:rFonts w:eastAsia="Calibri" w:cs="Arial"/>
          <w:sz w:val="22"/>
          <w:szCs w:val="22"/>
        </w:rPr>
        <w:t>C.</w:t>
      </w:r>
    </w:p>
    <w:p w14:paraId="399CA2F3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Układ optyczny oprawy musi spełniać wymagania normy PN-EN 6247:2010. Bezpieczeństwo fotobiologiczne lamp i systemów lampowych. </w:t>
      </w:r>
    </w:p>
    <w:p w14:paraId="492412F4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Dodatkowo dopuszcza się oprawy LED w wykonaniu: optyka diod LED wykonana </w:t>
      </w:r>
      <w:r w:rsidRPr="00DF78D1">
        <w:rPr>
          <w:rFonts w:eastAsia="Calibri" w:cs="Arial"/>
          <w:sz w:val="22"/>
          <w:szCs w:val="22"/>
        </w:rPr>
        <w:br/>
        <w:t>z modułów odbłyśników rastrowych. Charakterystyka układu optycznego dobierana poprzez obliczenia fotometryczne dla typu optyk: asymetryczny, drogowy w kilku opcjach dedykowanego rozsyłu.</w:t>
      </w:r>
    </w:p>
    <w:p w14:paraId="07F7E9D8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Oprawy gotowe do współpracy z zewnętrznym systemem sterowania oświetleniem, wyposażony w zasilacz z interfejsem 1-10V lub Dali z gniazdem ZHAGA oraz posiadać certyfikat </w:t>
      </w:r>
      <w:proofErr w:type="spellStart"/>
      <w:r w:rsidRPr="00DF78D1">
        <w:rPr>
          <w:rFonts w:cs="Arial"/>
          <w:sz w:val="22"/>
          <w:szCs w:val="22"/>
        </w:rPr>
        <w:t>Zhaga</w:t>
      </w:r>
      <w:proofErr w:type="spellEnd"/>
      <w:r w:rsidRPr="00DF78D1">
        <w:rPr>
          <w:rFonts w:cs="Arial"/>
          <w:sz w:val="22"/>
          <w:szCs w:val="22"/>
        </w:rPr>
        <w:t xml:space="preserve"> D4i. Oprawa musi posiadać zaślepkę, która po demontażu umożliwi montaż odpowiednich sterowników.</w:t>
      </w:r>
    </w:p>
    <w:p w14:paraId="4CD2B6B8" w14:textId="77777777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>Oprawy wyposażone w tzw. „</w:t>
      </w:r>
      <w:proofErr w:type="spellStart"/>
      <w:r w:rsidRPr="00DF78D1">
        <w:rPr>
          <w:rFonts w:eastAsia="Calibri" w:cs="Arial"/>
          <w:sz w:val="22"/>
          <w:szCs w:val="22"/>
        </w:rPr>
        <w:t>soft</w:t>
      </w:r>
      <w:proofErr w:type="spellEnd"/>
      <w:r w:rsidRPr="00DF78D1">
        <w:rPr>
          <w:rFonts w:eastAsia="Calibri" w:cs="Arial"/>
          <w:sz w:val="22"/>
          <w:szCs w:val="22"/>
        </w:rPr>
        <w:t xml:space="preserve"> start” (układ minimalizujący występowanie tzw. piku elektrycznego podczas rozruchu).</w:t>
      </w:r>
    </w:p>
    <w:p w14:paraId="4AB893F9" w14:textId="4BD2F9DE" w:rsidR="007A0AE5" w:rsidRPr="00DF78D1" w:rsidRDefault="007A0AE5" w:rsidP="007A0AE5">
      <w:pPr>
        <w:numPr>
          <w:ilvl w:val="0"/>
          <w:numId w:val="26"/>
        </w:numPr>
        <w:contextualSpacing/>
        <w:jc w:val="both"/>
        <w:rPr>
          <w:rFonts w:eastAsia="Calibri" w:cs="Arial"/>
          <w:sz w:val="22"/>
          <w:szCs w:val="22"/>
        </w:rPr>
      </w:pPr>
      <w:r w:rsidRPr="00DF78D1">
        <w:rPr>
          <w:rFonts w:eastAsia="Calibri" w:cs="Arial"/>
          <w:sz w:val="22"/>
          <w:szCs w:val="22"/>
        </w:rPr>
        <w:t xml:space="preserve">Oprawy LED nie mogą generować mocy biernej indukcyjnej pojemnościowej poza dopuszczalnym poziomem. </w:t>
      </w:r>
    </w:p>
    <w:p w14:paraId="0CC8EDB9" w14:textId="77777777" w:rsidR="007A0AE5" w:rsidRPr="00DF78D1" w:rsidRDefault="007A0AE5" w:rsidP="007A0AE5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1354822A" w14:textId="77777777" w:rsidR="007A0AE5" w:rsidRPr="00DF78D1" w:rsidRDefault="007A0AE5" w:rsidP="00513EB1">
      <w:pPr>
        <w:spacing w:line="360" w:lineRule="auto"/>
        <w:ind w:left="851" w:hanging="284"/>
        <w:jc w:val="both"/>
        <w:rPr>
          <w:rFonts w:eastAsia="Calibri" w:cs="Arial"/>
          <w:b/>
          <w:sz w:val="22"/>
          <w:szCs w:val="22"/>
          <w:u w:val="single"/>
        </w:rPr>
      </w:pPr>
      <w:r w:rsidRPr="00DF78D1">
        <w:rPr>
          <w:rFonts w:eastAsia="Calibri" w:cs="Arial"/>
          <w:b/>
          <w:sz w:val="22"/>
          <w:szCs w:val="22"/>
          <w:u w:val="single"/>
        </w:rPr>
        <w:t>Charakterystyka wysięgników:</w:t>
      </w:r>
    </w:p>
    <w:p w14:paraId="666F82A1" w14:textId="58B4A747" w:rsidR="0060751E" w:rsidRDefault="007A0AE5" w:rsidP="00513EB1">
      <w:pPr>
        <w:ind w:left="720"/>
        <w:contextualSpacing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Długość wysięgników oświetlenia drogowego należy dobrać w taki sposób, aby</w:t>
      </w:r>
      <w:r w:rsidRPr="00DF78D1">
        <w:rPr>
          <w:rFonts w:cs="Arial"/>
          <w:b/>
          <w:sz w:val="22"/>
          <w:szCs w:val="22"/>
        </w:rPr>
        <w:t xml:space="preserve"> </w:t>
      </w:r>
      <w:r w:rsidRPr="00DF78D1">
        <w:rPr>
          <w:rFonts w:cs="Arial"/>
          <w:sz w:val="22"/>
          <w:szCs w:val="22"/>
        </w:rPr>
        <w:t>linia opraw nie była uzależniona od zmiany odległości poszczególnych słupów od krawędzi jezdni a kąt zastosowanego wysięgnika musi umożliwiać jego zredukowanie regulacją uchwytu instalowanej oprawy. Wysięgniki muszą spełniać wszelkie postanowienia obowiązujących norm w zakresie wymaganej wytrzymałości ze względu na występujące strefy wiatrowe. Należy stosować wysięgniki ocynkowane lub aluminiowe.</w:t>
      </w:r>
    </w:p>
    <w:p w14:paraId="6FAEE8D7" w14:textId="77777777" w:rsidR="0060751E" w:rsidRDefault="0060751E" w:rsidP="007A0AE5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3875EA1E" w14:textId="77777777" w:rsidR="00033025" w:rsidRDefault="00033025" w:rsidP="007A0AE5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0C2C37E4" w14:textId="67F0F7EA" w:rsidR="00923C51" w:rsidRPr="00DF78D1" w:rsidRDefault="00923C51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Warunki dodatkowe:</w:t>
      </w:r>
    </w:p>
    <w:p w14:paraId="52F95941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winien do ceny doliczyć koszty opłat z tytułu ewentualnego zajęcia pasa drogowego oraz dopuszczeń do pracy lub innych nie wymienionych w niniejszej specyfikacji kosztów.</w:t>
      </w:r>
    </w:p>
    <w:p w14:paraId="42E1E7F5" w14:textId="1FC1043A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wykona przedmiot zamówienia zgodnie z obowiązującymi przepisami prawa, z aktualnymi zasadami wiedzy technicznej, z uwzględnieniem wymagań i</w:t>
      </w:r>
      <w:r w:rsidR="0060751E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obowiązujących przepisów i norm.</w:t>
      </w:r>
    </w:p>
    <w:p w14:paraId="6F8C7792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lastRenderedPageBreak/>
        <w:t>Przyjęte rozwiązania techniczne powinny być zgodne z obowiązującymi standardami technicznymi.</w:t>
      </w:r>
    </w:p>
    <w:p w14:paraId="7AD40682" w14:textId="3E1FEA79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zobowiązany jest dostarczyć dokumentację powykonawczą sporządzoną w oparciu o „Wytyczne odbiorowe TAURON Nowe Technologie S.A.” Dokumentacja powykonawcza powinna w szczególności zawierać: protokoły pomiarów powykonawczych, oświadczeni</w:t>
      </w:r>
      <w:r w:rsidR="00B5047C">
        <w:rPr>
          <w:rFonts w:cs="Arial"/>
          <w:sz w:val="22"/>
          <w:szCs w:val="22"/>
        </w:rPr>
        <w:t>a</w:t>
      </w:r>
      <w:r w:rsidRPr="00DF78D1">
        <w:rPr>
          <w:rFonts w:cs="Arial"/>
          <w:sz w:val="22"/>
          <w:szCs w:val="22"/>
        </w:rPr>
        <w:t xml:space="preserve"> </w:t>
      </w:r>
      <w:r w:rsidR="00B5047C">
        <w:rPr>
          <w:rFonts w:cs="Arial"/>
          <w:sz w:val="22"/>
          <w:szCs w:val="22"/>
        </w:rPr>
        <w:t>W</w:t>
      </w:r>
      <w:r w:rsidRPr="00DF78D1">
        <w:rPr>
          <w:rFonts w:cs="Arial"/>
          <w:sz w:val="22"/>
          <w:szCs w:val="22"/>
        </w:rPr>
        <w:t xml:space="preserve">ykonawcy, schematy powykonawcze, zestawienie zabudowanych materiałów, certyfikaty i karty katalogowe zastosowanych materiałów, protokoły odbioru terenu zawarte z właściwymi zarządcami terenu oraz inne wymagane </w:t>
      </w:r>
      <w:r w:rsidR="0060751E">
        <w:rPr>
          <w:rFonts w:cs="Arial"/>
          <w:sz w:val="22"/>
          <w:szCs w:val="22"/>
        </w:rPr>
        <w:t>Z</w:t>
      </w:r>
      <w:r w:rsidRPr="00DF78D1">
        <w:rPr>
          <w:rFonts w:cs="Arial"/>
          <w:sz w:val="22"/>
          <w:szCs w:val="22"/>
        </w:rPr>
        <w:t>ałącznikiem nr 2 do przedmiotowych wytycznych.</w:t>
      </w:r>
    </w:p>
    <w:p w14:paraId="330AADC7" w14:textId="6D29F9D1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Ostateczny termin dostarczenia dokumentacji powykonawczej celem przeprowadzenia procedury odbioru: 14 dni kalendarzowych przed planowaną datą wykonania przedmiotu </w:t>
      </w:r>
      <w:r w:rsidR="00DF78D1">
        <w:rPr>
          <w:rFonts w:cs="Arial"/>
          <w:sz w:val="22"/>
          <w:szCs w:val="22"/>
        </w:rPr>
        <w:t>zamówienia</w:t>
      </w:r>
      <w:r w:rsidRPr="00DF78D1">
        <w:rPr>
          <w:rFonts w:cs="Arial"/>
          <w:sz w:val="22"/>
          <w:szCs w:val="22"/>
        </w:rPr>
        <w:t>.</w:t>
      </w:r>
    </w:p>
    <w:p w14:paraId="3BB96B35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ma obowiązek zastosować standard techniczny nie gorszy niż to określono w szczegółowym zakresie przedmiotu zamówienia, pod sankcją uznania każdej części robót nie spełniających tego wymogu za wadliwą, z przewidzianymi umową konsekwencjami. Nie podlega sankcji odstępstwo od specyfikacji technicznej i dokumentacji technicznej, dla którego Wykonawca wcześniej uzyskał pisemną aprobatę Przedstawiciela Zamawiającego.</w:t>
      </w:r>
    </w:p>
    <w:p w14:paraId="5352A7C5" w14:textId="39228C4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ma możliwość zastosowania standardu wyższego w odniesieniu do jakiejkolwiek części robót, a w szczególności wszędzie i zawsze tam, gdzie służyć to będzie osiągnięciu gwarantowanych przez Wykonawcę parametrów techniczno – technologicznych. Wykonawca nie może powoływać się na jakikolwiek zapis specyfikacji technicznej dla usprawiedliwienia swojego nie wywiązania się z</w:t>
      </w:r>
      <w:r w:rsidR="00513EB1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jakiegokolwiek obowiązku przypisanego umową.</w:t>
      </w:r>
    </w:p>
    <w:p w14:paraId="24FB1067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Materiał z demontażu należy zutylizować w własnym zakresie i dostarczyć oświadczenie o utylizacji w celu przeprowadzenia zmian majątkowych. </w:t>
      </w:r>
    </w:p>
    <w:p w14:paraId="2AC6BFDB" w14:textId="7E914FB0" w:rsidR="007A0AE5" w:rsidRPr="00B046BE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b/>
          <w:bCs/>
          <w:sz w:val="22"/>
          <w:szCs w:val="16"/>
        </w:rPr>
      </w:pPr>
      <w:r w:rsidRPr="00B046BE">
        <w:rPr>
          <w:rFonts w:cs="Arial"/>
          <w:b/>
          <w:bCs/>
          <w:sz w:val="22"/>
          <w:szCs w:val="22"/>
        </w:rPr>
        <w:t xml:space="preserve">Przed realizacją szczegóły techniczne należy uzgodnić w Biurze </w:t>
      </w:r>
      <w:r w:rsidR="000A04F8">
        <w:rPr>
          <w:rFonts w:cs="Arial"/>
          <w:b/>
          <w:bCs/>
          <w:sz w:val="22"/>
          <w:szCs w:val="22"/>
        </w:rPr>
        <w:t>Inwestycji i Eksploatacji</w:t>
      </w:r>
      <w:r w:rsidRPr="00B046BE">
        <w:rPr>
          <w:rFonts w:cs="Arial"/>
          <w:b/>
          <w:bCs/>
          <w:sz w:val="22"/>
          <w:szCs w:val="22"/>
        </w:rPr>
        <w:t>.</w:t>
      </w:r>
    </w:p>
    <w:p w14:paraId="6BBA8EEB" w14:textId="489984B9" w:rsidR="009A74E2" w:rsidRDefault="009A74E2" w:rsidP="00220836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25A31F9B" w14:textId="7DD6845B" w:rsidR="00220836" w:rsidRPr="00220836" w:rsidRDefault="00220836" w:rsidP="00220836">
      <w:pPr>
        <w:ind w:left="567"/>
        <w:jc w:val="both"/>
        <w:rPr>
          <w:rFonts w:eastAsia="Calibri" w:cs="Arial"/>
          <w:b/>
          <w:color w:val="auto"/>
          <w:sz w:val="22"/>
          <w:szCs w:val="22"/>
          <w:u w:val="single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UWAGA! Przed złożeniem oferty Zamawiający zaleca wykonanie wizji w terenie</w:t>
      </w:r>
      <w:r w:rsidR="0021400B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.</w:t>
      </w:r>
    </w:p>
    <w:p w14:paraId="6490E4B7" w14:textId="77777777" w:rsidR="00220836" w:rsidRDefault="00220836" w:rsidP="00220836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647CBECE" w14:textId="34EA908C" w:rsidR="004514DA" w:rsidRPr="00EE36C2" w:rsidRDefault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 xml:space="preserve">Miejsce realizacji zamówienia: </w:t>
      </w:r>
      <w:r w:rsidR="0060751E" w:rsidRPr="0060751E">
        <w:rPr>
          <w:rFonts w:cs="Arial"/>
          <w:sz w:val="22"/>
        </w:rPr>
        <w:t xml:space="preserve">Gmina </w:t>
      </w:r>
      <w:r w:rsidR="006C1A12" w:rsidRPr="00184CE7">
        <w:rPr>
          <w:rFonts w:eastAsia="Calibri" w:cs="Arial"/>
          <w:bCs/>
          <w:color w:val="auto"/>
          <w:sz w:val="22"/>
          <w:szCs w:val="22"/>
          <w:lang w:eastAsia="pl-PL"/>
        </w:rPr>
        <w:t>Milówka</w:t>
      </w:r>
      <w:r w:rsidR="0060751E" w:rsidRPr="0060751E">
        <w:rPr>
          <w:rFonts w:cs="Arial"/>
          <w:sz w:val="22"/>
        </w:rPr>
        <w:t xml:space="preserve">, </w:t>
      </w:r>
      <w:r w:rsidR="006C1A12" w:rsidRPr="00184CE7">
        <w:rPr>
          <w:rFonts w:eastAsia="Calibri" w:cs="Arial"/>
          <w:bCs/>
          <w:color w:val="auto"/>
          <w:sz w:val="22"/>
          <w:szCs w:val="22"/>
          <w:lang w:eastAsia="pl-PL"/>
        </w:rPr>
        <w:t>Nieledwia, Kamesznica, Szare, Milówka</w:t>
      </w:r>
    </w:p>
    <w:p w14:paraId="0C63B53E" w14:textId="77777777" w:rsidR="00EE36C2" w:rsidRPr="00EE36C2" w:rsidRDefault="00EE36C2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65D68430" w14:textId="7B8021DD" w:rsidR="004514DA" w:rsidRPr="00220836" w:rsidRDefault="00730683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4514DA">
        <w:rPr>
          <w:rFonts w:cs="Arial"/>
          <w:b/>
          <w:sz w:val="22"/>
        </w:rPr>
        <w:t xml:space="preserve">Termin </w:t>
      </w:r>
      <w:r w:rsidR="00E17448" w:rsidRPr="004514DA">
        <w:rPr>
          <w:rFonts w:cs="Arial"/>
          <w:b/>
          <w:sz w:val="22"/>
        </w:rPr>
        <w:t>realizacji:</w:t>
      </w:r>
      <w:r w:rsidR="004514DA" w:rsidRPr="004514DA">
        <w:rPr>
          <w:rFonts w:cs="Arial"/>
          <w:b/>
          <w:sz w:val="22"/>
        </w:rPr>
        <w:t xml:space="preserve"> </w:t>
      </w:r>
      <w:r w:rsidR="00DF78D1">
        <w:rPr>
          <w:rFonts w:cs="Arial"/>
          <w:bCs/>
          <w:sz w:val="22"/>
        </w:rPr>
        <w:t xml:space="preserve">do </w:t>
      </w:r>
      <w:r w:rsidR="00423B41">
        <w:rPr>
          <w:rFonts w:cs="Arial"/>
          <w:sz w:val="22"/>
        </w:rPr>
        <w:t>2</w:t>
      </w:r>
      <w:r w:rsidR="00B2387E">
        <w:rPr>
          <w:rFonts w:cs="Arial"/>
          <w:sz w:val="22"/>
        </w:rPr>
        <w:t xml:space="preserve"> miesi</w:t>
      </w:r>
      <w:r w:rsidR="00DF78D1">
        <w:rPr>
          <w:rFonts w:cs="Arial"/>
          <w:sz w:val="22"/>
        </w:rPr>
        <w:t xml:space="preserve">ęcy </w:t>
      </w:r>
      <w:r w:rsidR="00B2387E">
        <w:rPr>
          <w:rFonts w:cs="Arial"/>
          <w:sz w:val="22"/>
        </w:rPr>
        <w:t>od daty zamówienia</w:t>
      </w:r>
    </w:p>
    <w:p w14:paraId="4E254A1D" w14:textId="77777777" w:rsidR="00DA6EA6" w:rsidRPr="00220836" w:rsidRDefault="00DA6EA6" w:rsidP="00220836">
      <w:pPr>
        <w:pStyle w:val="Akapitzlist"/>
        <w:rPr>
          <w:rFonts w:eastAsia="Calibri" w:cs="Arial"/>
          <w:color w:val="auto"/>
          <w:sz w:val="22"/>
          <w:szCs w:val="22"/>
          <w:lang w:eastAsia="pl-PL"/>
        </w:rPr>
      </w:pPr>
    </w:p>
    <w:p w14:paraId="75ABE33D" w14:textId="7A7362FA" w:rsidR="0059649D" w:rsidRPr="00220836" w:rsidRDefault="00DA6EA6" w:rsidP="001F4356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Rodzaj zamówienia:</w:t>
      </w:r>
      <w:r w:rsidRPr="001F4356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220836">
        <w:rPr>
          <w:rFonts w:eastAsia="Calibri" w:cs="Arial"/>
          <w:color w:val="auto"/>
          <w:sz w:val="22"/>
          <w:szCs w:val="22"/>
          <w:lang w:eastAsia="pl-PL"/>
        </w:rPr>
        <w:t>R</w:t>
      </w:r>
      <w:r w:rsidRPr="001F4356">
        <w:rPr>
          <w:rFonts w:eastAsia="Calibri" w:cs="Arial"/>
          <w:color w:val="auto"/>
          <w:sz w:val="22"/>
          <w:szCs w:val="22"/>
          <w:lang w:eastAsia="pl-PL"/>
        </w:rPr>
        <w:t>oboty budowlane</w:t>
      </w:r>
    </w:p>
    <w:p w14:paraId="00D581E1" w14:textId="77777777" w:rsidR="00220836" w:rsidRDefault="00220836" w:rsidP="00220836">
      <w:pPr>
        <w:pStyle w:val="Akapitzlist"/>
        <w:ind w:left="567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</w:p>
    <w:p w14:paraId="0E3BF706" w14:textId="56511D15" w:rsidR="0059649D" w:rsidRPr="00220836" w:rsidRDefault="0059649D" w:rsidP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Wymagane dokumenty</w:t>
      </w:r>
      <w:r w:rsidR="009A74E2">
        <w:rPr>
          <w:rFonts w:eastAsia="Calibri" w:cs="Arial"/>
          <w:b/>
          <w:color w:val="auto"/>
          <w:sz w:val="22"/>
          <w:szCs w:val="22"/>
          <w:lang w:eastAsia="pl-PL"/>
        </w:rPr>
        <w:t xml:space="preserve"> do złożenia oferty</w:t>
      </w: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:</w:t>
      </w:r>
    </w:p>
    <w:p w14:paraId="3A993AF5" w14:textId="2BEB25C0" w:rsidR="00C265BC" w:rsidRDefault="0059649D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a)</w:t>
      </w:r>
      <w:r w:rsidR="007B4F21" w:rsidRPr="007B4F21">
        <w:t xml:space="preserve"> 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 xml:space="preserve">wypełniony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F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>ormularz ofertowy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,</w:t>
      </w:r>
    </w:p>
    <w:p w14:paraId="23778F10" w14:textId="7D53DE39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 xml:space="preserve">b) </w:t>
      </w:r>
      <w:r w:rsidRPr="007B4F21">
        <w:rPr>
          <w:rFonts w:eastAsia="Calibri" w:cs="Arial"/>
          <w:color w:val="auto"/>
          <w:sz w:val="22"/>
          <w:szCs w:val="22"/>
          <w:lang w:eastAsia="pl-PL"/>
        </w:rPr>
        <w:t xml:space="preserve">karty katalogowe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oferowanych </w:t>
      </w:r>
      <w:r>
        <w:rPr>
          <w:rFonts w:eastAsia="Calibri" w:cs="Arial"/>
          <w:color w:val="auto"/>
          <w:sz w:val="22"/>
          <w:szCs w:val="22"/>
          <w:lang w:eastAsia="pl-PL"/>
        </w:rPr>
        <w:t>opraw i wysięgników</w:t>
      </w:r>
      <w:r w:rsidR="00877DFA">
        <w:rPr>
          <w:rFonts w:eastAsia="Calibri" w:cs="Arial"/>
          <w:color w:val="auto"/>
          <w:sz w:val="22"/>
          <w:szCs w:val="22"/>
          <w:lang w:eastAsia="pl-PL"/>
        </w:rPr>
        <w:t>, złącz słupowych</w:t>
      </w:r>
      <w:r>
        <w:rPr>
          <w:rFonts w:eastAsia="Calibri" w:cs="Arial"/>
          <w:color w:val="auto"/>
          <w:sz w:val="22"/>
          <w:szCs w:val="22"/>
          <w:lang w:eastAsia="pl-PL"/>
        </w:rPr>
        <w:t xml:space="preserve"> w języku polskim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,</w:t>
      </w:r>
    </w:p>
    <w:p w14:paraId="3CB82C48" w14:textId="6B31FAC2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 xml:space="preserve">c) certyfikaty lub deklaracje zgodności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oferowanych </w:t>
      </w:r>
      <w:r>
        <w:rPr>
          <w:rFonts w:eastAsia="Calibri" w:cs="Arial"/>
          <w:color w:val="auto"/>
          <w:sz w:val="22"/>
          <w:szCs w:val="22"/>
          <w:lang w:eastAsia="pl-PL"/>
        </w:rPr>
        <w:t>opraw i wysięgników</w:t>
      </w:r>
      <w:r w:rsidR="00877DFA">
        <w:rPr>
          <w:rFonts w:eastAsia="Calibri" w:cs="Arial"/>
          <w:color w:val="auto"/>
          <w:sz w:val="22"/>
          <w:szCs w:val="22"/>
          <w:lang w:eastAsia="pl-PL"/>
        </w:rPr>
        <w:t>, złącz słupowych</w:t>
      </w:r>
      <w:r>
        <w:rPr>
          <w:rFonts w:eastAsia="Calibri" w:cs="Arial"/>
          <w:color w:val="auto"/>
          <w:sz w:val="22"/>
          <w:szCs w:val="22"/>
          <w:lang w:eastAsia="pl-PL"/>
        </w:rPr>
        <w:t xml:space="preserve"> w języku polskim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56BB0B04" w14:textId="0087AD56" w:rsidR="0059649D" w:rsidRPr="00220836" w:rsidRDefault="0059649D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3253F8E0" w14:textId="7592DB4B" w:rsidR="004514DA" w:rsidRPr="004514DA" w:rsidRDefault="004514DA" w:rsidP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>Okres gwarancji wynosi:</w:t>
      </w:r>
    </w:p>
    <w:p w14:paraId="0B1F87D9" w14:textId="4C815731" w:rsidR="00EE36C2" w:rsidRPr="00AF5944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36</w:t>
      </w:r>
      <w:r w:rsidR="004514DA" w:rsidRPr="004514DA">
        <w:rPr>
          <w:rFonts w:eastAsia="Calibri" w:cs="Arial"/>
          <w:color w:val="auto"/>
          <w:sz w:val="22"/>
          <w:szCs w:val="22"/>
          <w:lang w:eastAsia="pl-PL"/>
        </w:rPr>
        <w:t xml:space="preserve"> miesięcy w zakresie robót budowlano-montażowych,</w:t>
      </w:r>
    </w:p>
    <w:p w14:paraId="7BF7662E" w14:textId="04B6509B" w:rsidR="004514DA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60</w:t>
      </w:r>
      <w:r w:rsidR="00EE36C2">
        <w:rPr>
          <w:rFonts w:eastAsia="Calibri" w:cs="Arial"/>
          <w:color w:val="auto"/>
          <w:sz w:val="22"/>
          <w:szCs w:val="22"/>
          <w:lang w:eastAsia="pl-PL"/>
        </w:rPr>
        <w:t xml:space="preserve"> miesięcy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4514DA" w:rsidRPr="00EE36C2">
        <w:rPr>
          <w:rFonts w:eastAsia="Calibri" w:cs="Arial"/>
          <w:color w:val="auto"/>
          <w:sz w:val="22"/>
          <w:szCs w:val="22"/>
          <w:lang w:eastAsia="pl-PL"/>
        </w:rPr>
        <w:t xml:space="preserve">w zakresie zastosowanych </w:t>
      </w:r>
      <w:r w:rsidR="00EE36C2" w:rsidRPr="00EE36C2">
        <w:rPr>
          <w:rFonts w:eastAsia="Calibri" w:cs="Arial"/>
          <w:color w:val="auto"/>
          <w:sz w:val="22"/>
          <w:szCs w:val="22"/>
          <w:lang w:eastAsia="pl-PL"/>
        </w:rPr>
        <w:t>materiałów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748C3B62" w14:textId="4A663087" w:rsidR="00730683" w:rsidRPr="00E17448" w:rsidRDefault="00730683" w:rsidP="00DF78D1">
      <w:pPr>
        <w:numPr>
          <w:ilvl w:val="0"/>
          <w:numId w:val="20"/>
        </w:numPr>
        <w:ind w:left="568" w:hanging="284"/>
        <w:jc w:val="both"/>
        <w:rPr>
          <w:rFonts w:cs="Arial"/>
          <w:b/>
          <w:sz w:val="22"/>
          <w:szCs w:val="22"/>
        </w:rPr>
      </w:pPr>
      <w:r w:rsidRPr="00E17448">
        <w:rPr>
          <w:rFonts w:cs="Arial"/>
          <w:b/>
          <w:sz w:val="22"/>
          <w:szCs w:val="22"/>
        </w:rPr>
        <w:t>Forma składania oferty</w:t>
      </w:r>
      <w:r w:rsidR="00B046BE">
        <w:rPr>
          <w:rFonts w:cs="Arial"/>
          <w:b/>
          <w:sz w:val="22"/>
          <w:szCs w:val="22"/>
        </w:rPr>
        <w:t>:</w:t>
      </w:r>
    </w:p>
    <w:p w14:paraId="42CF03D4" w14:textId="4F99D77A" w:rsidR="00730683" w:rsidRDefault="00730683" w:rsidP="00DF78D1">
      <w:pPr>
        <w:spacing w:before="120"/>
        <w:ind w:left="567"/>
        <w:jc w:val="both"/>
        <w:rPr>
          <w:rFonts w:cs="Arial"/>
          <w:sz w:val="22"/>
          <w:szCs w:val="22"/>
        </w:rPr>
      </w:pPr>
      <w:r w:rsidRPr="00E17448">
        <w:rPr>
          <w:rFonts w:cs="Arial"/>
          <w:sz w:val="22"/>
          <w:szCs w:val="22"/>
        </w:rPr>
        <w:lastRenderedPageBreak/>
        <w:t xml:space="preserve">Ofertę składa się w formie elektronicznej za pośrednictwem Platformy Zakupowej Grupy TAURON, za pomocą formularzy elektronicznych umieszczonych na stronie internetowej </w:t>
      </w:r>
      <w:hyperlink r:id="rId18" w:history="1">
        <w:r w:rsidRPr="00E17448">
          <w:rPr>
            <w:rStyle w:val="Hipercze"/>
            <w:rFonts w:cs="Arial"/>
            <w:sz w:val="22"/>
            <w:szCs w:val="22"/>
          </w:rPr>
          <w:t>https://swoz.tauron.pl</w:t>
        </w:r>
      </w:hyperlink>
      <w:r w:rsidRPr="00E17448">
        <w:rPr>
          <w:rFonts w:cs="Arial"/>
          <w:sz w:val="22"/>
          <w:szCs w:val="22"/>
        </w:rPr>
        <w:t xml:space="preserve">, dostępnych po zalogowaniu na konto użytkownika </w:t>
      </w:r>
      <w:r w:rsidR="00B00A05">
        <w:rPr>
          <w:rFonts w:cs="Arial"/>
          <w:sz w:val="22"/>
          <w:szCs w:val="22"/>
        </w:rPr>
        <w:br/>
      </w:r>
      <w:r w:rsidRPr="00E17448">
        <w:rPr>
          <w:rFonts w:cs="Arial"/>
          <w:sz w:val="22"/>
          <w:szCs w:val="22"/>
        </w:rPr>
        <w:t>i przystąpieniu Wykonawcy do postępowania.</w:t>
      </w:r>
    </w:p>
    <w:p w14:paraId="21A77500" w14:textId="77777777" w:rsidR="00DF78D1" w:rsidRDefault="00DF78D1" w:rsidP="00DF78D1">
      <w:pPr>
        <w:ind w:left="567"/>
        <w:jc w:val="both"/>
        <w:rPr>
          <w:rFonts w:cs="Arial"/>
          <w:sz w:val="22"/>
          <w:szCs w:val="22"/>
        </w:rPr>
      </w:pPr>
    </w:p>
    <w:p w14:paraId="776680C5" w14:textId="6050BEF9" w:rsidR="004514DA" w:rsidRPr="00DF78D1" w:rsidRDefault="005E4762" w:rsidP="00DF78D1">
      <w:pPr>
        <w:pStyle w:val="Akapitzlist"/>
        <w:numPr>
          <w:ilvl w:val="0"/>
          <w:numId w:val="20"/>
        </w:numPr>
        <w:spacing w:line="360" w:lineRule="auto"/>
        <w:ind w:left="568" w:hanging="284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730683">
        <w:rPr>
          <w:rFonts w:eastAsia="Calibri" w:cs="Arial"/>
          <w:b/>
          <w:color w:val="auto"/>
          <w:sz w:val="22"/>
          <w:szCs w:val="22"/>
          <w:lang w:eastAsia="pl-PL"/>
        </w:rPr>
        <w:t>Dane osób do kontaktu:</w:t>
      </w:r>
    </w:p>
    <w:p w14:paraId="0EF8BBC1" w14:textId="2189B29E" w:rsidR="000018E4" w:rsidRPr="000018E4" w:rsidRDefault="00421112" w:rsidP="00513EB1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Katarzyna Chudzik</w:t>
      </w:r>
    </w:p>
    <w:p w14:paraId="77479E19" w14:textId="615C04D9" w:rsidR="000018E4" w:rsidRPr="000018E4" w:rsidRDefault="000018E4" w:rsidP="00513EB1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 w:rsidRPr="000018E4">
        <w:rPr>
          <w:rFonts w:cs="Arial"/>
          <w:sz w:val="22"/>
          <w:szCs w:val="22"/>
        </w:rPr>
        <w:t>tel. kom. +48</w:t>
      </w:r>
      <w:r w:rsidR="00421112">
        <w:rPr>
          <w:rFonts w:cs="Arial"/>
          <w:sz w:val="22"/>
          <w:szCs w:val="22"/>
        </w:rPr>
        <w:t> 513 027 528</w:t>
      </w:r>
    </w:p>
    <w:p w14:paraId="11890DC3" w14:textId="098CFA26" w:rsidR="000018E4" w:rsidRPr="000018E4" w:rsidRDefault="000018E4" w:rsidP="00513EB1">
      <w:pPr>
        <w:pStyle w:val="Akapitzlist"/>
        <w:spacing w:line="276" w:lineRule="auto"/>
        <w:ind w:left="644"/>
        <w:jc w:val="both"/>
        <w:rPr>
          <w:sz w:val="22"/>
          <w:szCs w:val="26"/>
        </w:rPr>
      </w:pPr>
      <w:r w:rsidRPr="000018E4">
        <w:rPr>
          <w:rFonts w:cs="Arial"/>
          <w:sz w:val="22"/>
          <w:szCs w:val="22"/>
        </w:rPr>
        <w:t xml:space="preserve">e-mail: </w:t>
      </w:r>
      <w:r w:rsidR="00421112">
        <w:t>katarzyna.chudzik@tauron.pl</w:t>
      </w:r>
    </w:p>
    <w:p w14:paraId="47C03275" w14:textId="77777777" w:rsidR="00B2387E" w:rsidRDefault="00B2387E" w:rsidP="00923C51">
      <w:pPr>
        <w:spacing w:line="276" w:lineRule="auto"/>
        <w:ind w:left="851" w:hanging="283"/>
        <w:jc w:val="both"/>
        <w:rPr>
          <w:rFonts w:cs="Arial"/>
          <w:sz w:val="22"/>
          <w:szCs w:val="22"/>
        </w:rPr>
      </w:pPr>
    </w:p>
    <w:p w14:paraId="35F44AF6" w14:textId="77777777" w:rsidR="00B2387E" w:rsidRPr="00B046BE" w:rsidRDefault="00B2387E" w:rsidP="00B2387E">
      <w:pPr>
        <w:rPr>
          <w:sz w:val="22"/>
          <w:szCs w:val="26"/>
          <w:u w:val="single"/>
        </w:rPr>
      </w:pPr>
      <w:r w:rsidRPr="00B046BE">
        <w:rPr>
          <w:sz w:val="22"/>
          <w:szCs w:val="26"/>
          <w:u w:val="single"/>
        </w:rPr>
        <w:t>Załączniki:</w:t>
      </w:r>
    </w:p>
    <w:p w14:paraId="77EC9276" w14:textId="77777777" w:rsidR="00B2387E" w:rsidRPr="00B046BE" w:rsidRDefault="00B2387E" w:rsidP="00B2387E">
      <w:pPr>
        <w:rPr>
          <w:sz w:val="22"/>
          <w:szCs w:val="26"/>
        </w:rPr>
      </w:pPr>
      <w:r w:rsidRPr="00B046BE">
        <w:rPr>
          <w:sz w:val="22"/>
          <w:szCs w:val="26"/>
        </w:rPr>
        <w:t>- Mapy z lokalizacjami wymiany opraw</w:t>
      </w:r>
    </w:p>
    <w:p w14:paraId="7E58F678" w14:textId="7E31E649" w:rsidR="00B2387E" w:rsidRPr="00B046BE" w:rsidRDefault="00B2387E" w:rsidP="00B2387E">
      <w:pPr>
        <w:spacing w:line="276" w:lineRule="auto"/>
        <w:jc w:val="both"/>
        <w:rPr>
          <w:rFonts w:cs="Arial"/>
          <w:sz w:val="24"/>
        </w:rPr>
      </w:pPr>
      <w:r w:rsidRPr="00B046BE">
        <w:rPr>
          <w:sz w:val="22"/>
          <w:szCs w:val="26"/>
        </w:rPr>
        <w:t>-</w:t>
      </w:r>
      <w:r w:rsidR="00CA764D">
        <w:rPr>
          <w:sz w:val="22"/>
          <w:szCs w:val="26"/>
        </w:rPr>
        <w:t xml:space="preserve"> </w:t>
      </w:r>
      <w:r w:rsidRPr="00B046BE">
        <w:rPr>
          <w:sz w:val="22"/>
          <w:szCs w:val="26"/>
        </w:rPr>
        <w:t>Załącznik nr 2 do Zasad odbiorów i sprawdzeń urządzeń oświetleniowych na terenie TAURON Nowe technologie S.A.</w:t>
      </w:r>
    </w:p>
    <w:sectPr w:rsidR="00B2387E" w:rsidRPr="00B046BE" w:rsidSect="005E4762">
      <w:headerReference w:type="default" r:id="rId19"/>
      <w:footerReference w:type="default" r:id="rId20"/>
      <w:type w:val="continuous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FF156" w14:textId="77777777" w:rsidR="008557ED" w:rsidRDefault="008557ED" w:rsidP="00CA621F">
      <w:r>
        <w:separator/>
      </w:r>
    </w:p>
  </w:endnote>
  <w:endnote w:type="continuationSeparator" w:id="0">
    <w:p w14:paraId="4020C078" w14:textId="77777777" w:rsidR="008557ED" w:rsidRDefault="008557ED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6F47" w14:textId="77777777" w:rsidR="00EE36C2" w:rsidRDefault="00EE3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249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TAURON Nowe Technologie S.A.</w:t>
    </w:r>
    <w:r w:rsidRPr="00D14B95">
      <w:rPr>
        <w:rFonts w:ascii="Titillium" w:eastAsia="Calibri" w:hAnsi="Titillium"/>
        <w:color w:val="6E6E6D"/>
        <w:sz w:val="14"/>
      </w:rPr>
      <w:tab/>
      <w:t>NIP: 899 10 76 556, REGON: 930810615</w:t>
    </w:r>
  </w:p>
  <w:p w14:paraId="0B29EC67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pl. Powstańców Śląskich 20</w:t>
    </w:r>
    <w:r w:rsidRPr="00D14B95">
      <w:rPr>
        <w:rFonts w:ascii="Titillium" w:eastAsia="Calibri" w:hAnsi="Titillium"/>
        <w:color w:val="6E6E6D"/>
        <w:sz w:val="14"/>
      </w:rPr>
      <w:tab/>
      <w:t>Kapitał zakładowy (wpłacony): 9.535.649,00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z</w:t>
    </w:r>
    <w:r w:rsidRPr="00D14B95">
      <w:rPr>
        <w:rFonts w:ascii="Titillium" w:eastAsia="Calibri" w:hAnsi="Titillium" w:cs="Titillium"/>
        <w:color w:val="6E6E6D"/>
        <w:sz w:val="14"/>
      </w:rPr>
      <w:t>ł</w:t>
    </w:r>
  </w:p>
  <w:p w14:paraId="625EEC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53-314 Wrocław</w:t>
    </w:r>
    <w:r w:rsidRPr="00D14B95">
      <w:rPr>
        <w:rFonts w:ascii="Titillium" w:eastAsia="Calibri" w:hAnsi="Titillium"/>
        <w:color w:val="6E6E6D"/>
        <w:sz w:val="14"/>
      </w:rPr>
      <w:tab/>
      <w:t>Rejestracja: Sąd rejonowy dla Wrocławia Fabrycznej we Wrocławiu</w:t>
    </w:r>
  </w:p>
  <w:p w14:paraId="6EA211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tel.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303 80 01</w:t>
    </w:r>
    <w:r w:rsidRPr="00D14B95">
      <w:rPr>
        <w:rFonts w:ascii="Titillium" w:eastAsia="Calibri" w:hAnsi="Titillium"/>
        <w:color w:val="6E6E6D"/>
        <w:sz w:val="14"/>
      </w:rPr>
      <w:tab/>
      <w:t xml:space="preserve">Wydział VI Gospodarczy Krajowego Rejestru Sądowego </w:t>
    </w:r>
  </w:p>
  <w:p w14:paraId="5A847DE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D8117D"/>
        <w:sz w:val="14"/>
      </w:rPr>
    </w:pPr>
    <w:r w:rsidRPr="00D14B95">
      <w:rPr>
        <w:rFonts w:ascii="Titillium" w:eastAsia="Calibri" w:hAnsi="Titillium"/>
        <w:color w:val="6E6E6D"/>
        <w:sz w:val="14"/>
      </w:rPr>
      <w:t>fax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303 80 02</w:t>
    </w:r>
    <w:r w:rsidRPr="00D14B95">
      <w:rPr>
        <w:rFonts w:ascii="Titillium" w:eastAsia="Calibri" w:hAnsi="Titillium"/>
        <w:color w:val="6E6E6D"/>
        <w:sz w:val="14"/>
      </w:rPr>
      <w:tab/>
      <w:t>pod numerem KRS: 0000141756</w:t>
    </w:r>
    <w:r w:rsidRPr="00D14B95">
      <w:rPr>
        <w:rFonts w:ascii="Titillium" w:eastAsia="Calibri" w:hAnsi="Titillium"/>
        <w:color w:val="000000"/>
        <w:sz w:val="14"/>
      </w:rPr>
      <w:tab/>
    </w:r>
    <w:r w:rsidRPr="00D14B95">
      <w:rPr>
        <w:rFonts w:ascii="Titillium" w:eastAsia="Calibri" w:hAnsi="Titillium"/>
        <w:color w:val="D8117D"/>
        <w:sz w:val="14"/>
      </w:rPr>
      <w:t>www.nowe-technologie.tauron.pl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B727" w14:textId="77777777" w:rsidR="00EE36C2" w:rsidRDefault="00EE36C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070E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466B56AA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1EE8828A" w14:textId="7EEB9480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  <w:r>
      <w:rPr>
        <w:noProof/>
        <w:lang w:eastAsia="pl-PL"/>
      </w:rPr>
      <w:drawing>
        <wp:inline distT="0" distB="0" distL="0" distR="0" wp14:anchorId="01C00DC9" wp14:editId="01AA5781">
          <wp:extent cx="5772785" cy="683895"/>
          <wp:effectExtent l="0" t="0" r="0" b="190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7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7A57B" w14:textId="77777777" w:rsidR="008557ED" w:rsidRDefault="008557ED" w:rsidP="00CA621F">
      <w:r>
        <w:separator/>
      </w:r>
    </w:p>
  </w:footnote>
  <w:footnote w:type="continuationSeparator" w:id="0">
    <w:p w14:paraId="1EAC030A" w14:textId="77777777" w:rsidR="008557ED" w:rsidRDefault="008557ED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E329" w14:textId="77777777" w:rsidR="00EE36C2" w:rsidRDefault="00EE3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B0B8" w14:textId="6CCFD5C2" w:rsidR="00EE36C2" w:rsidRPr="001176DA" w:rsidRDefault="00EE36C2" w:rsidP="00EE36C2">
    <w:pPr>
      <w:pStyle w:val="Nagwek"/>
      <w:rPr>
        <w:sz w:val="6"/>
        <w:szCs w:val="6"/>
      </w:rPr>
    </w:pPr>
    <w:r>
      <w:rPr>
        <w:noProof/>
        <w:lang w:eastAsia="pl-PL"/>
      </w:rPr>
      <w:drawing>
        <wp:inline distT="0" distB="0" distL="0" distR="0" wp14:anchorId="7C48636B" wp14:editId="314E4B5D">
          <wp:extent cx="5760085" cy="123620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2362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DA5C" w14:textId="77777777" w:rsidR="00EE36C2" w:rsidRDefault="00EE36C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3DBC" w14:textId="77777777" w:rsidR="00EE36C2" w:rsidRDefault="00EE36C2" w:rsidP="00EE36C2">
    <w:pPr>
      <w:pStyle w:val="Nagwek"/>
      <w:rPr>
        <w:sz w:val="6"/>
        <w:szCs w:val="6"/>
      </w:rPr>
    </w:pPr>
  </w:p>
  <w:p w14:paraId="60E83C06" w14:textId="77777777" w:rsidR="00EE36C2" w:rsidRDefault="00EE36C2" w:rsidP="00EE36C2">
    <w:pPr>
      <w:pStyle w:val="Nagwek"/>
      <w:rPr>
        <w:sz w:val="6"/>
        <w:szCs w:val="6"/>
      </w:rPr>
    </w:pPr>
  </w:p>
  <w:p w14:paraId="48538D24" w14:textId="77777777" w:rsidR="00EE36C2" w:rsidRDefault="00EE36C2" w:rsidP="00EE36C2">
    <w:pPr>
      <w:pStyle w:val="Nagwek"/>
      <w:rPr>
        <w:sz w:val="6"/>
        <w:szCs w:val="6"/>
      </w:rPr>
    </w:pPr>
  </w:p>
  <w:p w14:paraId="485A8B8C" w14:textId="77777777" w:rsidR="00EE36C2" w:rsidRDefault="00EE36C2" w:rsidP="00EE36C2">
    <w:pPr>
      <w:pStyle w:val="Nagwek"/>
      <w:rPr>
        <w:sz w:val="6"/>
        <w:szCs w:val="6"/>
      </w:rPr>
    </w:pPr>
  </w:p>
  <w:p w14:paraId="54A86229" w14:textId="77777777" w:rsidR="00EE36C2" w:rsidRPr="001176DA" w:rsidRDefault="00EE36C2" w:rsidP="00EE36C2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37B"/>
    <w:multiLevelType w:val="hybridMultilevel"/>
    <w:tmpl w:val="55FAB8D2"/>
    <w:lvl w:ilvl="0" w:tplc="4F9449E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1E16"/>
    <w:multiLevelType w:val="hybridMultilevel"/>
    <w:tmpl w:val="44422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B2D"/>
    <w:multiLevelType w:val="hybridMultilevel"/>
    <w:tmpl w:val="C29C7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C6238"/>
    <w:multiLevelType w:val="hybridMultilevel"/>
    <w:tmpl w:val="A15A81DA"/>
    <w:lvl w:ilvl="0" w:tplc="F2AEBDD4">
      <w:start w:val="2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" w15:restartNumberingAfterBreak="0">
    <w:nsid w:val="1CEA7D07"/>
    <w:multiLevelType w:val="hybridMultilevel"/>
    <w:tmpl w:val="526E9952"/>
    <w:lvl w:ilvl="0" w:tplc="6A580B9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 w15:restartNumberingAfterBreak="0">
    <w:nsid w:val="1E140CD7"/>
    <w:multiLevelType w:val="hybridMultilevel"/>
    <w:tmpl w:val="85080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11AB1"/>
    <w:multiLevelType w:val="hybridMultilevel"/>
    <w:tmpl w:val="F404F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B2259"/>
    <w:multiLevelType w:val="hybridMultilevel"/>
    <w:tmpl w:val="4B78CB30"/>
    <w:lvl w:ilvl="0" w:tplc="AD2287D4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58792B"/>
    <w:multiLevelType w:val="hybridMultilevel"/>
    <w:tmpl w:val="8C7286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4B4888"/>
    <w:multiLevelType w:val="hybridMultilevel"/>
    <w:tmpl w:val="00CA9AD0"/>
    <w:lvl w:ilvl="0" w:tplc="A67C5C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C7213"/>
    <w:multiLevelType w:val="hybridMultilevel"/>
    <w:tmpl w:val="0CC682C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52E0F"/>
    <w:multiLevelType w:val="hybridMultilevel"/>
    <w:tmpl w:val="41CEE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61DC0"/>
    <w:multiLevelType w:val="hybridMultilevel"/>
    <w:tmpl w:val="16DEA4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6B6A0D"/>
    <w:multiLevelType w:val="hybridMultilevel"/>
    <w:tmpl w:val="77D49F34"/>
    <w:lvl w:ilvl="0" w:tplc="8AFA2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74C14"/>
    <w:multiLevelType w:val="hybridMultilevel"/>
    <w:tmpl w:val="D1482D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6BC435B"/>
    <w:multiLevelType w:val="hybridMultilevel"/>
    <w:tmpl w:val="9CFCD7C0"/>
    <w:lvl w:ilvl="0" w:tplc="86B8BA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A181925"/>
    <w:multiLevelType w:val="hybridMultilevel"/>
    <w:tmpl w:val="10C25ECE"/>
    <w:lvl w:ilvl="0" w:tplc="BD620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C5FE7"/>
    <w:multiLevelType w:val="hybridMultilevel"/>
    <w:tmpl w:val="B85C57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5902C9"/>
    <w:multiLevelType w:val="hybridMultilevel"/>
    <w:tmpl w:val="09345666"/>
    <w:lvl w:ilvl="0" w:tplc="4CB2AD6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4627D"/>
    <w:multiLevelType w:val="hybridMultilevel"/>
    <w:tmpl w:val="5734F18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0E4468E"/>
    <w:multiLevelType w:val="hybridMultilevel"/>
    <w:tmpl w:val="4ADAFC98"/>
    <w:lvl w:ilvl="0" w:tplc="63540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E7297"/>
    <w:multiLevelType w:val="hybridMultilevel"/>
    <w:tmpl w:val="FBD6FFA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354A3"/>
    <w:multiLevelType w:val="hybridMultilevel"/>
    <w:tmpl w:val="D50816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0714E"/>
    <w:multiLevelType w:val="multilevel"/>
    <w:tmpl w:val="CFC8E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1"/>
        <w:szCs w:val="21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3B0680F"/>
    <w:multiLevelType w:val="hybridMultilevel"/>
    <w:tmpl w:val="7A629D7A"/>
    <w:lvl w:ilvl="0" w:tplc="B54A7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867CA"/>
    <w:multiLevelType w:val="hybridMultilevel"/>
    <w:tmpl w:val="19F646D6"/>
    <w:lvl w:ilvl="0" w:tplc="D6CE23A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4971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850328">
    <w:abstractNumId w:val="14"/>
  </w:num>
  <w:num w:numId="3" w16cid:durableId="575089875">
    <w:abstractNumId w:val="25"/>
  </w:num>
  <w:num w:numId="4" w16cid:durableId="1658268362">
    <w:abstractNumId w:val="19"/>
  </w:num>
  <w:num w:numId="5" w16cid:durableId="2101483711">
    <w:abstractNumId w:val="23"/>
  </w:num>
  <w:num w:numId="6" w16cid:durableId="1987587156">
    <w:abstractNumId w:val="21"/>
  </w:num>
  <w:num w:numId="7" w16cid:durableId="771826170">
    <w:abstractNumId w:val="2"/>
  </w:num>
  <w:num w:numId="8" w16cid:durableId="1907759036">
    <w:abstractNumId w:val="16"/>
  </w:num>
  <w:num w:numId="9" w16cid:durableId="578636718">
    <w:abstractNumId w:val="24"/>
  </w:num>
  <w:num w:numId="10" w16cid:durableId="1932272398">
    <w:abstractNumId w:val="0"/>
  </w:num>
  <w:num w:numId="11" w16cid:durableId="1096711423">
    <w:abstractNumId w:val="20"/>
  </w:num>
  <w:num w:numId="12" w16cid:durableId="1105423920">
    <w:abstractNumId w:val="13"/>
  </w:num>
  <w:num w:numId="13" w16cid:durableId="1979073023">
    <w:abstractNumId w:val="11"/>
  </w:num>
  <w:num w:numId="14" w16cid:durableId="200899471">
    <w:abstractNumId w:val="17"/>
  </w:num>
  <w:num w:numId="15" w16cid:durableId="61291153">
    <w:abstractNumId w:val="1"/>
  </w:num>
  <w:num w:numId="16" w16cid:durableId="1175919168">
    <w:abstractNumId w:val="8"/>
  </w:num>
  <w:num w:numId="17" w16cid:durableId="1379010439">
    <w:abstractNumId w:val="4"/>
  </w:num>
  <w:num w:numId="18" w16cid:durableId="675421438">
    <w:abstractNumId w:val="3"/>
  </w:num>
  <w:num w:numId="19" w16cid:durableId="2056539322">
    <w:abstractNumId w:val="5"/>
  </w:num>
  <w:num w:numId="20" w16cid:durableId="620116844">
    <w:abstractNumId w:val="9"/>
  </w:num>
  <w:num w:numId="21" w16cid:durableId="1681664220">
    <w:abstractNumId w:val="12"/>
  </w:num>
  <w:num w:numId="22" w16cid:durableId="743257935">
    <w:abstractNumId w:val="10"/>
  </w:num>
  <w:num w:numId="23" w16cid:durableId="1302231762">
    <w:abstractNumId w:val="18"/>
  </w:num>
  <w:num w:numId="24" w16cid:durableId="243884613">
    <w:abstractNumId w:val="7"/>
  </w:num>
  <w:num w:numId="25" w16cid:durableId="1221597393">
    <w:abstractNumId w:val="15"/>
  </w:num>
  <w:num w:numId="26" w16cid:durableId="16694021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18E4"/>
    <w:rsid w:val="00005386"/>
    <w:rsid w:val="00013ECE"/>
    <w:rsid w:val="00014144"/>
    <w:rsid w:val="0003121B"/>
    <w:rsid w:val="00033025"/>
    <w:rsid w:val="00043AC5"/>
    <w:rsid w:val="000465E4"/>
    <w:rsid w:val="000526F7"/>
    <w:rsid w:val="0007313B"/>
    <w:rsid w:val="00087391"/>
    <w:rsid w:val="00091392"/>
    <w:rsid w:val="00093733"/>
    <w:rsid w:val="000A04F8"/>
    <w:rsid w:val="000A7DA2"/>
    <w:rsid w:val="000B5C80"/>
    <w:rsid w:val="000D0E12"/>
    <w:rsid w:val="000E1965"/>
    <w:rsid w:val="000E27CF"/>
    <w:rsid w:val="000F5656"/>
    <w:rsid w:val="00103DB0"/>
    <w:rsid w:val="001456FC"/>
    <w:rsid w:val="00145A71"/>
    <w:rsid w:val="00162229"/>
    <w:rsid w:val="00165948"/>
    <w:rsid w:val="00177764"/>
    <w:rsid w:val="0018275D"/>
    <w:rsid w:val="00184CE7"/>
    <w:rsid w:val="001B1092"/>
    <w:rsid w:val="001B3624"/>
    <w:rsid w:val="001B7AF1"/>
    <w:rsid w:val="001C119A"/>
    <w:rsid w:val="001C7F21"/>
    <w:rsid w:val="001F4356"/>
    <w:rsid w:val="002021FC"/>
    <w:rsid w:val="0021400B"/>
    <w:rsid w:val="0022012C"/>
    <w:rsid w:val="00220836"/>
    <w:rsid w:val="00240EF8"/>
    <w:rsid w:val="00246620"/>
    <w:rsid w:val="00257BE9"/>
    <w:rsid w:val="0026617D"/>
    <w:rsid w:val="002753FF"/>
    <w:rsid w:val="002936E9"/>
    <w:rsid w:val="00297EC7"/>
    <w:rsid w:val="002B2368"/>
    <w:rsid w:val="002C13E4"/>
    <w:rsid w:val="002D5099"/>
    <w:rsid w:val="002E586F"/>
    <w:rsid w:val="00303F46"/>
    <w:rsid w:val="00306C36"/>
    <w:rsid w:val="00315DAC"/>
    <w:rsid w:val="00320CA3"/>
    <w:rsid w:val="00342666"/>
    <w:rsid w:val="00342C2D"/>
    <w:rsid w:val="003439CC"/>
    <w:rsid w:val="00367B47"/>
    <w:rsid w:val="003768E3"/>
    <w:rsid w:val="00382181"/>
    <w:rsid w:val="003A19A8"/>
    <w:rsid w:val="003B207A"/>
    <w:rsid w:val="003E0F69"/>
    <w:rsid w:val="003E5C9F"/>
    <w:rsid w:val="003F06A2"/>
    <w:rsid w:val="003F61E5"/>
    <w:rsid w:val="004030C7"/>
    <w:rsid w:val="00416D0C"/>
    <w:rsid w:val="00421112"/>
    <w:rsid w:val="00423B41"/>
    <w:rsid w:val="00430D03"/>
    <w:rsid w:val="004514DA"/>
    <w:rsid w:val="00462F6C"/>
    <w:rsid w:val="0047718F"/>
    <w:rsid w:val="00480B43"/>
    <w:rsid w:val="004A33B9"/>
    <w:rsid w:val="004A4BE7"/>
    <w:rsid w:val="004A5DA9"/>
    <w:rsid w:val="004D6AAD"/>
    <w:rsid w:val="004E0A1F"/>
    <w:rsid w:val="004F5E6F"/>
    <w:rsid w:val="00513EB1"/>
    <w:rsid w:val="00542738"/>
    <w:rsid w:val="0054474A"/>
    <w:rsid w:val="00567621"/>
    <w:rsid w:val="0057245B"/>
    <w:rsid w:val="00574817"/>
    <w:rsid w:val="00574912"/>
    <w:rsid w:val="00580E86"/>
    <w:rsid w:val="00590ECB"/>
    <w:rsid w:val="00594D9A"/>
    <w:rsid w:val="0059649D"/>
    <w:rsid w:val="005A5BC5"/>
    <w:rsid w:val="005B1D6A"/>
    <w:rsid w:val="005B39AE"/>
    <w:rsid w:val="005E4762"/>
    <w:rsid w:val="005E74F4"/>
    <w:rsid w:val="005F3943"/>
    <w:rsid w:val="005F400B"/>
    <w:rsid w:val="0060751E"/>
    <w:rsid w:val="006115A4"/>
    <w:rsid w:val="00622D80"/>
    <w:rsid w:val="00624859"/>
    <w:rsid w:val="00625A12"/>
    <w:rsid w:val="0063674B"/>
    <w:rsid w:val="006417C2"/>
    <w:rsid w:val="0064367F"/>
    <w:rsid w:val="00646832"/>
    <w:rsid w:val="00646EAC"/>
    <w:rsid w:val="0065614A"/>
    <w:rsid w:val="006568FE"/>
    <w:rsid w:val="00661383"/>
    <w:rsid w:val="006834B3"/>
    <w:rsid w:val="006968B4"/>
    <w:rsid w:val="006A02E7"/>
    <w:rsid w:val="006A7D03"/>
    <w:rsid w:val="006B5500"/>
    <w:rsid w:val="006C1A12"/>
    <w:rsid w:val="006C2194"/>
    <w:rsid w:val="006D3321"/>
    <w:rsid w:val="006F06FB"/>
    <w:rsid w:val="006F4C80"/>
    <w:rsid w:val="00704ABE"/>
    <w:rsid w:val="00710192"/>
    <w:rsid w:val="007278DF"/>
    <w:rsid w:val="00730683"/>
    <w:rsid w:val="00737A7B"/>
    <w:rsid w:val="00747553"/>
    <w:rsid w:val="0077392E"/>
    <w:rsid w:val="00780E56"/>
    <w:rsid w:val="007874E7"/>
    <w:rsid w:val="007A0732"/>
    <w:rsid w:val="007A0AE5"/>
    <w:rsid w:val="007A2322"/>
    <w:rsid w:val="007B4F21"/>
    <w:rsid w:val="007B520F"/>
    <w:rsid w:val="007C4C44"/>
    <w:rsid w:val="00812C44"/>
    <w:rsid w:val="00821DC6"/>
    <w:rsid w:val="008303AB"/>
    <w:rsid w:val="008401D4"/>
    <w:rsid w:val="00841B79"/>
    <w:rsid w:val="00852306"/>
    <w:rsid w:val="008557ED"/>
    <w:rsid w:val="00864EF4"/>
    <w:rsid w:val="00873107"/>
    <w:rsid w:val="00877DFA"/>
    <w:rsid w:val="008842BF"/>
    <w:rsid w:val="00887402"/>
    <w:rsid w:val="008B6779"/>
    <w:rsid w:val="008C30A9"/>
    <w:rsid w:val="008C5D26"/>
    <w:rsid w:val="008D1274"/>
    <w:rsid w:val="008D3211"/>
    <w:rsid w:val="008F2ED5"/>
    <w:rsid w:val="009135A4"/>
    <w:rsid w:val="0092206A"/>
    <w:rsid w:val="00923C51"/>
    <w:rsid w:val="0093634C"/>
    <w:rsid w:val="00941E09"/>
    <w:rsid w:val="00946980"/>
    <w:rsid w:val="00947C82"/>
    <w:rsid w:val="00972B39"/>
    <w:rsid w:val="0098714C"/>
    <w:rsid w:val="00995C3B"/>
    <w:rsid w:val="009A6568"/>
    <w:rsid w:val="009A74E2"/>
    <w:rsid w:val="009B2997"/>
    <w:rsid w:val="009C55C0"/>
    <w:rsid w:val="009E7664"/>
    <w:rsid w:val="00A2045F"/>
    <w:rsid w:val="00A43F0B"/>
    <w:rsid w:val="00A55A72"/>
    <w:rsid w:val="00A602C7"/>
    <w:rsid w:val="00AA0E5C"/>
    <w:rsid w:val="00AA65B3"/>
    <w:rsid w:val="00AB0418"/>
    <w:rsid w:val="00AB24BB"/>
    <w:rsid w:val="00AB34DC"/>
    <w:rsid w:val="00AD344F"/>
    <w:rsid w:val="00AE1D51"/>
    <w:rsid w:val="00AF4A69"/>
    <w:rsid w:val="00AF5944"/>
    <w:rsid w:val="00B00A05"/>
    <w:rsid w:val="00B046BE"/>
    <w:rsid w:val="00B06DF9"/>
    <w:rsid w:val="00B15570"/>
    <w:rsid w:val="00B2387E"/>
    <w:rsid w:val="00B46FEF"/>
    <w:rsid w:val="00B5047C"/>
    <w:rsid w:val="00B5250A"/>
    <w:rsid w:val="00B53E38"/>
    <w:rsid w:val="00B66F93"/>
    <w:rsid w:val="00B8310D"/>
    <w:rsid w:val="00BA302D"/>
    <w:rsid w:val="00BB4F9E"/>
    <w:rsid w:val="00BC1BC8"/>
    <w:rsid w:val="00BF0A5B"/>
    <w:rsid w:val="00BF36D3"/>
    <w:rsid w:val="00C0008F"/>
    <w:rsid w:val="00C10229"/>
    <w:rsid w:val="00C1158E"/>
    <w:rsid w:val="00C265BC"/>
    <w:rsid w:val="00C300D8"/>
    <w:rsid w:val="00C46B02"/>
    <w:rsid w:val="00C75A19"/>
    <w:rsid w:val="00C90BBF"/>
    <w:rsid w:val="00CA621F"/>
    <w:rsid w:val="00CA764D"/>
    <w:rsid w:val="00CC1B89"/>
    <w:rsid w:val="00CD6529"/>
    <w:rsid w:val="00CD71BE"/>
    <w:rsid w:val="00CE4E03"/>
    <w:rsid w:val="00CF01B2"/>
    <w:rsid w:val="00CF0B4A"/>
    <w:rsid w:val="00CF2A53"/>
    <w:rsid w:val="00CF525C"/>
    <w:rsid w:val="00CF57C1"/>
    <w:rsid w:val="00D05AC1"/>
    <w:rsid w:val="00D14B95"/>
    <w:rsid w:val="00D17EE9"/>
    <w:rsid w:val="00D30EE1"/>
    <w:rsid w:val="00D344BA"/>
    <w:rsid w:val="00D4331B"/>
    <w:rsid w:val="00D551A3"/>
    <w:rsid w:val="00D6076B"/>
    <w:rsid w:val="00D6182B"/>
    <w:rsid w:val="00D90D6E"/>
    <w:rsid w:val="00DA6EA6"/>
    <w:rsid w:val="00DA78C3"/>
    <w:rsid w:val="00DC2EFE"/>
    <w:rsid w:val="00DD2A65"/>
    <w:rsid w:val="00DE064E"/>
    <w:rsid w:val="00DF78D1"/>
    <w:rsid w:val="00E04114"/>
    <w:rsid w:val="00E069D0"/>
    <w:rsid w:val="00E07D89"/>
    <w:rsid w:val="00E17448"/>
    <w:rsid w:val="00E30A4A"/>
    <w:rsid w:val="00E41849"/>
    <w:rsid w:val="00E45BEF"/>
    <w:rsid w:val="00E461B2"/>
    <w:rsid w:val="00E55A7D"/>
    <w:rsid w:val="00E57697"/>
    <w:rsid w:val="00E629CF"/>
    <w:rsid w:val="00E71450"/>
    <w:rsid w:val="00E71656"/>
    <w:rsid w:val="00E84D88"/>
    <w:rsid w:val="00E871F0"/>
    <w:rsid w:val="00E90D09"/>
    <w:rsid w:val="00E953D5"/>
    <w:rsid w:val="00E9606C"/>
    <w:rsid w:val="00EA1040"/>
    <w:rsid w:val="00EA3E88"/>
    <w:rsid w:val="00EA402D"/>
    <w:rsid w:val="00EA6DF6"/>
    <w:rsid w:val="00EB40CE"/>
    <w:rsid w:val="00EB487E"/>
    <w:rsid w:val="00ED1B12"/>
    <w:rsid w:val="00EE36C2"/>
    <w:rsid w:val="00F01799"/>
    <w:rsid w:val="00F148DC"/>
    <w:rsid w:val="00F26CBB"/>
    <w:rsid w:val="00F312E9"/>
    <w:rsid w:val="00F32BBC"/>
    <w:rsid w:val="00F461F8"/>
    <w:rsid w:val="00F71732"/>
    <w:rsid w:val="00F8021B"/>
    <w:rsid w:val="00F8106B"/>
    <w:rsid w:val="00F8232F"/>
    <w:rsid w:val="00FB113F"/>
    <w:rsid w:val="00FB1900"/>
    <w:rsid w:val="00FB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Hipercze">
    <w:name w:val="Hyperlink"/>
    <w:rsid w:val="00BB4F9E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1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17D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99"/>
    <w:qFormat/>
    <w:rsid w:val="00A2045F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6C21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rsid w:val="001B7AF1"/>
    <w:rPr>
      <w:rFonts w:ascii="Arial" w:hAnsi="Arial" w:cs="Times New Roman (Tekst podstawo"/>
      <w:color w:val="000000" w:themeColor="text1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2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121B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121B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2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21B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Poprawka">
    <w:name w:val="Revision"/>
    <w:hidden/>
    <w:uiPriority w:val="99"/>
    <w:semiHidden/>
    <w:rsid w:val="001F4356"/>
    <w:rPr>
      <w:rFonts w:ascii="Arial" w:hAnsi="Arial" w:cs="Times New Roman (Tekst podstawo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swoz.tauron.p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288E5E-B81F-4BA6-8E4A-9178AD42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1407</Words>
  <Characters>9350</Characters>
  <Application>Microsoft Office Word</Application>
  <DocSecurity>0</DocSecurity>
  <Lines>203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Rutkowski Sławomir (TNT)</cp:lastModifiedBy>
  <cp:revision>25</cp:revision>
  <cp:lastPrinted>2021-05-10T07:25:00Z</cp:lastPrinted>
  <dcterms:created xsi:type="dcterms:W3CDTF">2025-01-30T12:03:00Z</dcterms:created>
  <dcterms:modified xsi:type="dcterms:W3CDTF">2026-05-05T11:30:00Z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